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7105A648">
      <w:pPr>
        <w:spacing w:beforeLines="0" w:afterLines="0"/>
        <w:rPr>
          <w:rFonts w:hint="default"/>
          <w:sz w:val="2"/>
          <w:szCs w:val="24"/>
        </w:rPr>
      </w:pPr>
    </w:p>
    <w:tbl>
      <w:tblPr>
        <w:tblStyle w:val="6"/>
        <w:tblW w:w="15306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306"/>
      </w:tblGrid>
      <w:tr w14:paraId="4D365A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81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7ABDF696">
            <w:pPr>
              <w:spacing w:beforeLines="0" w:afterLines="0" w:line="1110" w:lineRule="exact"/>
              <w:ind w:left="20"/>
              <w:jc w:val="center"/>
              <w:rPr>
                <w:rFonts w:hint="eastAsia" w:ascii="微软雅黑" w:hAnsi="微软雅黑" w:eastAsia="微软雅黑"/>
                <w:b/>
                <w:sz w:val="84"/>
                <w:szCs w:val="24"/>
              </w:rPr>
            </w:pPr>
            <w:r>
              <w:rPr>
                <w:rFonts w:hint="eastAsia" w:ascii="微软雅黑" w:hAnsi="微软雅黑" w:eastAsia="微软雅黑"/>
                <w:b/>
                <w:sz w:val="84"/>
                <w:szCs w:val="24"/>
              </w:rPr>
              <w:t>岳阳市救助管理站2026年度</w:t>
            </w:r>
          </w:p>
          <w:p w14:paraId="7D9E58C0">
            <w:pPr>
              <w:spacing w:beforeLines="0" w:afterLines="0" w:line="1110" w:lineRule="exact"/>
              <w:ind w:left="20"/>
              <w:jc w:val="center"/>
              <w:rPr>
                <w:rFonts w:hint="eastAsia" w:ascii="微软雅黑" w:hAnsi="微软雅黑" w:eastAsia="微软雅黑"/>
                <w:sz w:val="84"/>
                <w:szCs w:val="24"/>
              </w:rPr>
            </w:pPr>
            <w:r>
              <w:rPr>
                <w:rFonts w:hint="eastAsia" w:ascii="微软雅黑" w:hAnsi="微软雅黑" w:eastAsia="微软雅黑"/>
                <w:b/>
                <w:sz w:val="84"/>
                <w:szCs w:val="24"/>
              </w:rPr>
              <w:t>单位预算</w:t>
            </w:r>
          </w:p>
        </w:tc>
      </w:tr>
      <w:tr w14:paraId="628F37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2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22FF1299">
            <w:pPr>
              <w:spacing w:beforeLines="0" w:afterLines="0" w:line="525" w:lineRule="exact"/>
              <w:ind w:left="20"/>
              <w:jc w:val="center"/>
              <w:rPr>
                <w:rFonts w:hint="eastAsia" w:ascii="Dialog" w:hAnsi="Dialog"/>
                <w:sz w:val="44"/>
                <w:szCs w:val="24"/>
              </w:rPr>
            </w:pPr>
            <w:r>
              <w:rPr>
                <w:rFonts w:hint="eastAsia" w:ascii="Dialog" w:hAnsi="Dialog"/>
                <w:sz w:val="44"/>
                <w:szCs w:val="24"/>
              </w:rPr>
              <w:t>目录</w:t>
            </w:r>
          </w:p>
        </w:tc>
      </w:tr>
      <w:tr w14:paraId="074A70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2" w:hRule="atLeast"/>
        </w:trPr>
        <w:tc>
          <w:tcPr>
            <w:tcW w:w="15306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44097527">
            <w:pPr>
              <w:spacing w:beforeLines="0" w:afterLines="0"/>
              <w:rPr>
                <w:rFonts w:hint="default"/>
                <w:sz w:val="24"/>
                <w:szCs w:val="24"/>
              </w:rPr>
            </w:pPr>
          </w:p>
        </w:tc>
      </w:tr>
      <w:tr w14:paraId="231235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0767FD6A">
            <w:pPr>
              <w:spacing w:beforeLines="0" w:afterLines="0" w:line="375" w:lineRule="exact"/>
              <w:ind w:left="20"/>
              <w:rPr>
                <w:rFonts w:hint="eastAsia" w:ascii="Dialog" w:hAnsi="Dialog"/>
                <w:sz w:val="32"/>
                <w:szCs w:val="24"/>
              </w:rPr>
            </w:pPr>
            <w:r>
              <w:rPr>
                <w:rFonts w:hint="eastAsia" w:ascii="Dialog" w:hAnsi="Dialog"/>
                <w:sz w:val="32"/>
                <w:szCs w:val="24"/>
              </w:rPr>
              <w:t>第一部分  2026年单位预算说明</w:t>
            </w:r>
          </w:p>
        </w:tc>
      </w:tr>
      <w:tr w14:paraId="1BB2D0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3EF72C9E">
            <w:pPr>
              <w:spacing w:beforeLines="0" w:afterLines="0" w:line="375" w:lineRule="exact"/>
              <w:ind w:left="20"/>
              <w:rPr>
                <w:rFonts w:hint="eastAsia" w:ascii="Dialog" w:hAnsi="Dialog"/>
                <w:sz w:val="32"/>
                <w:szCs w:val="24"/>
              </w:rPr>
            </w:pPr>
            <w:r>
              <w:rPr>
                <w:rFonts w:hint="eastAsia" w:ascii="Dialog" w:hAnsi="Dialog"/>
                <w:sz w:val="32"/>
                <w:szCs w:val="24"/>
              </w:rPr>
              <w:t>第二部分  2026年单位预算公开表格</w:t>
            </w:r>
          </w:p>
        </w:tc>
      </w:tr>
      <w:tr w14:paraId="5A6D8B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206C8860">
            <w:pPr>
              <w:spacing w:beforeLines="0" w:afterLines="0" w:line="375" w:lineRule="exact"/>
              <w:ind w:left="20"/>
              <w:rPr>
                <w:rFonts w:hint="eastAsia" w:ascii="Dialog" w:hAnsi="Dialog"/>
                <w:sz w:val="32"/>
                <w:szCs w:val="24"/>
              </w:rPr>
            </w:pPr>
            <w:r>
              <w:rPr>
                <w:rFonts w:hint="eastAsia" w:ascii="Dialog" w:hAnsi="Dialog"/>
                <w:sz w:val="32"/>
                <w:szCs w:val="24"/>
              </w:rPr>
              <w:t>1、收支总表</w:t>
            </w:r>
          </w:p>
        </w:tc>
      </w:tr>
      <w:tr w14:paraId="2B4685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1302D071">
            <w:pPr>
              <w:spacing w:beforeLines="0" w:afterLines="0" w:line="375" w:lineRule="exact"/>
              <w:ind w:left="20"/>
              <w:rPr>
                <w:rFonts w:hint="eastAsia" w:ascii="Dialog" w:hAnsi="Dialog"/>
                <w:sz w:val="32"/>
                <w:szCs w:val="24"/>
              </w:rPr>
            </w:pPr>
            <w:r>
              <w:rPr>
                <w:rFonts w:hint="eastAsia" w:ascii="Dialog" w:hAnsi="Dialog"/>
                <w:sz w:val="32"/>
                <w:szCs w:val="24"/>
              </w:rPr>
              <w:t>2、收入总表</w:t>
            </w:r>
          </w:p>
        </w:tc>
      </w:tr>
      <w:tr w14:paraId="022934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39A65106">
            <w:pPr>
              <w:spacing w:beforeLines="0" w:afterLines="0" w:line="375" w:lineRule="exact"/>
              <w:ind w:left="20"/>
              <w:rPr>
                <w:rFonts w:hint="eastAsia" w:ascii="Dialog" w:hAnsi="Dialog"/>
                <w:sz w:val="32"/>
                <w:szCs w:val="24"/>
              </w:rPr>
            </w:pPr>
            <w:r>
              <w:rPr>
                <w:rFonts w:hint="eastAsia" w:ascii="Dialog" w:hAnsi="Dialog"/>
                <w:sz w:val="32"/>
                <w:szCs w:val="24"/>
              </w:rPr>
              <w:t>3、支出总表</w:t>
            </w:r>
          </w:p>
        </w:tc>
      </w:tr>
      <w:tr w14:paraId="410176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4E50F1FB">
            <w:pPr>
              <w:spacing w:beforeLines="0" w:afterLines="0" w:line="375" w:lineRule="exact"/>
              <w:ind w:left="20"/>
              <w:rPr>
                <w:rFonts w:hint="eastAsia" w:ascii="Dialog" w:hAnsi="Dialog"/>
                <w:sz w:val="32"/>
                <w:szCs w:val="24"/>
              </w:rPr>
            </w:pPr>
            <w:r>
              <w:rPr>
                <w:rFonts w:hint="eastAsia" w:ascii="Dialog" w:hAnsi="Dialog"/>
                <w:sz w:val="32"/>
                <w:szCs w:val="24"/>
              </w:rPr>
              <w:t>4、支出预算分类汇总表（按政府预算经济分类）</w:t>
            </w:r>
          </w:p>
        </w:tc>
      </w:tr>
      <w:tr w14:paraId="1599B0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61D3C45C">
            <w:pPr>
              <w:spacing w:beforeLines="0" w:afterLines="0" w:line="375" w:lineRule="exact"/>
              <w:ind w:left="20"/>
              <w:rPr>
                <w:rFonts w:hint="eastAsia" w:ascii="Dialog" w:hAnsi="Dialog"/>
                <w:sz w:val="32"/>
                <w:szCs w:val="24"/>
              </w:rPr>
            </w:pPr>
            <w:r>
              <w:rPr>
                <w:rFonts w:hint="eastAsia" w:ascii="Dialog" w:hAnsi="Dialog"/>
                <w:sz w:val="32"/>
                <w:szCs w:val="24"/>
              </w:rPr>
              <w:t>5、支出预算分类汇总表（按部门预算经济分类）</w:t>
            </w:r>
          </w:p>
        </w:tc>
      </w:tr>
      <w:tr w14:paraId="6AD71B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44759D02">
            <w:pPr>
              <w:spacing w:beforeLines="0" w:afterLines="0" w:line="375" w:lineRule="exact"/>
              <w:ind w:left="20"/>
              <w:rPr>
                <w:rFonts w:hint="eastAsia" w:ascii="Dialog" w:hAnsi="Dialog"/>
                <w:sz w:val="32"/>
                <w:szCs w:val="24"/>
              </w:rPr>
            </w:pPr>
            <w:r>
              <w:rPr>
                <w:rFonts w:hint="eastAsia" w:ascii="Dialog" w:hAnsi="Dialog"/>
                <w:sz w:val="32"/>
                <w:szCs w:val="24"/>
              </w:rPr>
              <w:t>6、财政拨款收支总表</w:t>
            </w:r>
          </w:p>
        </w:tc>
      </w:tr>
      <w:tr w14:paraId="3116E6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07425DE2">
            <w:pPr>
              <w:spacing w:beforeLines="0" w:afterLines="0" w:line="375" w:lineRule="exact"/>
              <w:ind w:left="20"/>
              <w:rPr>
                <w:rFonts w:hint="eastAsia" w:ascii="Dialog" w:hAnsi="Dialog"/>
                <w:sz w:val="32"/>
                <w:szCs w:val="24"/>
              </w:rPr>
            </w:pPr>
            <w:r>
              <w:rPr>
                <w:rFonts w:hint="eastAsia" w:ascii="Dialog" w:hAnsi="Dialog"/>
                <w:sz w:val="32"/>
                <w:szCs w:val="24"/>
              </w:rPr>
              <w:t>7、一般公共预算支出表</w:t>
            </w:r>
          </w:p>
        </w:tc>
      </w:tr>
      <w:tr w14:paraId="6EF037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380EE494">
            <w:pPr>
              <w:spacing w:beforeLines="0" w:afterLines="0" w:line="375" w:lineRule="exact"/>
              <w:ind w:left="20"/>
              <w:rPr>
                <w:rFonts w:hint="eastAsia" w:ascii="Dialog" w:hAnsi="Dialog"/>
                <w:sz w:val="32"/>
                <w:szCs w:val="24"/>
              </w:rPr>
            </w:pPr>
            <w:r>
              <w:rPr>
                <w:rFonts w:hint="eastAsia" w:ascii="Dialog" w:hAnsi="Dialog"/>
                <w:sz w:val="32"/>
                <w:szCs w:val="24"/>
              </w:rPr>
              <w:t>8、一般公共预算基本支出表-人员经费（工资福利支出）（按政府预算经济分类）</w:t>
            </w:r>
          </w:p>
        </w:tc>
      </w:tr>
      <w:tr w14:paraId="523264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1C6E25F0">
            <w:pPr>
              <w:spacing w:beforeLines="0" w:afterLines="0" w:line="375" w:lineRule="exact"/>
              <w:ind w:left="20"/>
              <w:rPr>
                <w:rFonts w:hint="eastAsia" w:ascii="Dialog" w:hAnsi="Dialog"/>
                <w:sz w:val="32"/>
                <w:szCs w:val="24"/>
              </w:rPr>
            </w:pPr>
            <w:r>
              <w:rPr>
                <w:rFonts w:hint="eastAsia" w:ascii="Dialog" w:hAnsi="Dialog"/>
                <w:sz w:val="32"/>
                <w:szCs w:val="24"/>
              </w:rPr>
              <w:t>9、一般公共预算基本支出表-人员经费（工资福利支出）（按部门预算经济分类）</w:t>
            </w:r>
          </w:p>
        </w:tc>
      </w:tr>
      <w:tr w14:paraId="0973E0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4FD3FA1D">
            <w:pPr>
              <w:spacing w:beforeLines="0" w:afterLines="0" w:line="375" w:lineRule="exact"/>
              <w:ind w:left="20"/>
              <w:rPr>
                <w:rFonts w:hint="eastAsia" w:ascii="Dialog" w:hAnsi="Dialog"/>
                <w:sz w:val="32"/>
                <w:szCs w:val="24"/>
              </w:rPr>
            </w:pPr>
            <w:r>
              <w:rPr>
                <w:rFonts w:hint="eastAsia" w:ascii="Dialog" w:hAnsi="Dialog"/>
                <w:sz w:val="32"/>
                <w:szCs w:val="24"/>
              </w:rPr>
              <w:t>10、一般公共预算基本支出表-人员经费（对个人和家庭的补助）（按政府预算经济分类）</w:t>
            </w:r>
          </w:p>
        </w:tc>
      </w:tr>
      <w:tr w14:paraId="1A8A4D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14477CE6">
            <w:pPr>
              <w:spacing w:beforeLines="0" w:afterLines="0" w:line="375" w:lineRule="exact"/>
              <w:ind w:left="20"/>
              <w:rPr>
                <w:rFonts w:hint="eastAsia" w:ascii="Dialog" w:hAnsi="Dialog"/>
                <w:sz w:val="32"/>
                <w:szCs w:val="24"/>
              </w:rPr>
            </w:pPr>
            <w:r>
              <w:rPr>
                <w:rFonts w:hint="eastAsia" w:ascii="Dialog" w:hAnsi="Dialog"/>
                <w:sz w:val="32"/>
                <w:szCs w:val="24"/>
              </w:rPr>
              <w:t>11、一般公共预算基本支出表-人员经费（对个人和家庭的补助）（按部门预算经济分类）</w:t>
            </w:r>
          </w:p>
        </w:tc>
      </w:tr>
      <w:tr w14:paraId="50D587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32661111">
            <w:pPr>
              <w:spacing w:beforeLines="0" w:afterLines="0" w:line="375" w:lineRule="exact"/>
              <w:ind w:left="20"/>
              <w:rPr>
                <w:rFonts w:hint="eastAsia" w:ascii="Dialog" w:hAnsi="Dialog"/>
                <w:sz w:val="32"/>
                <w:szCs w:val="24"/>
              </w:rPr>
            </w:pPr>
            <w:r>
              <w:rPr>
                <w:rFonts w:hint="eastAsia" w:ascii="Dialog" w:hAnsi="Dialog"/>
                <w:sz w:val="32"/>
                <w:szCs w:val="24"/>
              </w:rPr>
              <w:t>12、一般公共预算基本支出表-公用经费（商品和服务支出）（按政府预算经济分类）</w:t>
            </w:r>
          </w:p>
        </w:tc>
      </w:tr>
      <w:tr w14:paraId="2778C4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4F6F470A">
            <w:pPr>
              <w:spacing w:beforeLines="0" w:afterLines="0" w:line="375" w:lineRule="exact"/>
              <w:ind w:left="20"/>
              <w:rPr>
                <w:rFonts w:hint="eastAsia" w:ascii="Dialog" w:hAnsi="Dialog"/>
                <w:sz w:val="32"/>
                <w:szCs w:val="24"/>
              </w:rPr>
            </w:pPr>
            <w:r>
              <w:rPr>
                <w:rFonts w:hint="eastAsia" w:ascii="Dialog" w:hAnsi="Dialog"/>
                <w:sz w:val="32"/>
                <w:szCs w:val="24"/>
              </w:rPr>
              <w:t>13、一般公共预算基本支出表-公用经费（商品和服务支出）（按部门预算经济分类）</w:t>
            </w:r>
          </w:p>
        </w:tc>
      </w:tr>
      <w:tr w14:paraId="12CF06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639CFA91">
            <w:pPr>
              <w:spacing w:beforeLines="0" w:afterLines="0" w:line="375" w:lineRule="exact"/>
              <w:ind w:left="20"/>
              <w:rPr>
                <w:rFonts w:hint="eastAsia" w:ascii="Dialog" w:hAnsi="Dialog"/>
                <w:sz w:val="32"/>
                <w:szCs w:val="24"/>
              </w:rPr>
            </w:pPr>
            <w:r>
              <w:rPr>
                <w:rFonts w:hint="eastAsia" w:ascii="Dialog" w:hAnsi="Dialog"/>
                <w:sz w:val="32"/>
                <w:szCs w:val="24"/>
              </w:rPr>
              <w:t>14、一般公共预算“三公”经费支出表</w:t>
            </w:r>
          </w:p>
        </w:tc>
      </w:tr>
      <w:tr w14:paraId="4703E3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6A75EE45">
            <w:pPr>
              <w:spacing w:beforeLines="0" w:afterLines="0" w:line="375" w:lineRule="exact"/>
              <w:ind w:left="20"/>
              <w:rPr>
                <w:rFonts w:hint="eastAsia" w:ascii="Dialog" w:hAnsi="Dialog"/>
                <w:sz w:val="32"/>
                <w:szCs w:val="24"/>
              </w:rPr>
            </w:pPr>
            <w:r>
              <w:rPr>
                <w:rFonts w:hint="eastAsia" w:ascii="Dialog" w:hAnsi="Dialog"/>
                <w:sz w:val="32"/>
                <w:szCs w:val="24"/>
              </w:rPr>
              <w:t>15、政府性基金预算支出表</w:t>
            </w:r>
          </w:p>
        </w:tc>
      </w:tr>
      <w:tr w14:paraId="1FF2F0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58A0C409">
            <w:pPr>
              <w:spacing w:beforeLines="0" w:afterLines="0" w:line="375" w:lineRule="exact"/>
              <w:ind w:left="20"/>
              <w:rPr>
                <w:rFonts w:hint="eastAsia" w:ascii="Dialog" w:hAnsi="Dialog"/>
                <w:sz w:val="32"/>
                <w:szCs w:val="24"/>
              </w:rPr>
            </w:pPr>
            <w:r>
              <w:rPr>
                <w:rFonts w:hint="eastAsia" w:ascii="Dialog" w:hAnsi="Dialog"/>
                <w:sz w:val="32"/>
                <w:szCs w:val="24"/>
              </w:rPr>
              <w:t>16、政府性基金预算支出分类汇总表（按政府预算经济分类）</w:t>
            </w:r>
          </w:p>
        </w:tc>
      </w:tr>
      <w:tr w14:paraId="0DF8D8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292E0082">
            <w:pPr>
              <w:spacing w:beforeLines="0" w:afterLines="0" w:line="375" w:lineRule="exact"/>
              <w:ind w:left="20"/>
              <w:rPr>
                <w:rFonts w:hint="eastAsia" w:ascii="Dialog" w:hAnsi="Dialog"/>
                <w:sz w:val="32"/>
                <w:szCs w:val="24"/>
              </w:rPr>
            </w:pPr>
            <w:r>
              <w:rPr>
                <w:rFonts w:hint="eastAsia" w:ascii="Dialog" w:hAnsi="Dialog"/>
                <w:sz w:val="32"/>
                <w:szCs w:val="24"/>
              </w:rPr>
              <w:t>17、政府性基金预算支出分类汇总表（按部门预算经济分类）</w:t>
            </w:r>
          </w:p>
        </w:tc>
      </w:tr>
      <w:tr w14:paraId="63CF02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19815577">
            <w:pPr>
              <w:spacing w:beforeLines="0" w:afterLines="0" w:line="375" w:lineRule="exact"/>
              <w:ind w:left="20"/>
              <w:rPr>
                <w:rFonts w:hint="eastAsia" w:ascii="Dialog" w:hAnsi="Dialog"/>
                <w:sz w:val="32"/>
                <w:szCs w:val="24"/>
              </w:rPr>
            </w:pPr>
            <w:r>
              <w:rPr>
                <w:rFonts w:hint="eastAsia" w:ascii="Dialog" w:hAnsi="Dialog"/>
                <w:sz w:val="32"/>
                <w:szCs w:val="24"/>
              </w:rPr>
              <w:t>18、国有资本经营预算支出表</w:t>
            </w:r>
          </w:p>
        </w:tc>
      </w:tr>
      <w:tr w14:paraId="2C438A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25C7ABEC">
            <w:pPr>
              <w:spacing w:beforeLines="0" w:afterLines="0" w:line="375" w:lineRule="exact"/>
              <w:ind w:left="20"/>
              <w:rPr>
                <w:rFonts w:hint="eastAsia" w:ascii="Dialog" w:hAnsi="Dialog"/>
                <w:sz w:val="32"/>
                <w:szCs w:val="24"/>
              </w:rPr>
            </w:pPr>
            <w:r>
              <w:rPr>
                <w:rFonts w:hint="eastAsia" w:ascii="Dialog" w:hAnsi="Dialog"/>
                <w:sz w:val="32"/>
                <w:szCs w:val="24"/>
              </w:rPr>
              <w:t>19、财政专户管理资金预算支出表</w:t>
            </w:r>
          </w:p>
        </w:tc>
      </w:tr>
      <w:tr w14:paraId="1D5667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3552FEDC">
            <w:pPr>
              <w:spacing w:beforeLines="0" w:afterLines="0" w:line="375" w:lineRule="exact"/>
              <w:ind w:left="20"/>
              <w:rPr>
                <w:rFonts w:hint="eastAsia" w:ascii="Dialog" w:hAnsi="Dialog"/>
                <w:sz w:val="32"/>
                <w:szCs w:val="24"/>
              </w:rPr>
            </w:pPr>
            <w:r>
              <w:rPr>
                <w:rFonts w:hint="eastAsia" w:ascii="Dialog" w:hAnsi="Dialog"/>
                <w:sz w:val="32"/>
                <w:szCs w:val="24"/>
              </w:rPr>
              <w:t>20、专项资金预算汇总表</w:t>
            </w:r>
          </w:p>
        </w:tc>
      </w:tr>
      <w:tr w14:paraId="6F0021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2501BB57">
            <w:pPr>
              <w:spacing w:beforeLines="0" w:afterLines="0" w:line="375" w:lineRule="exact"/>
              <w:ind w:left="20"/>
              <w:rPr>
                <w:rFonts w:hint="eastAsia" w:ascii="Dialog" w:hAnsi="Dialog"/>
                <w:sz w:val="32"/>
                <w:szCs w:val="24"/>
              </w:rPr>
            </w:pPr>
            <w:r>
              <w:rPr>
                <w:rFonts w:hint="eastAsia" w:ascii="Dialog" w:hAnsi="Dialog"/>
                <w:sz w:val="32"/>
                <w:szCs w:val="24"/>
              </w:rPr>
              <w:t>21、项目支出绩效目标表</w:t>
            </w:r>
          </w:p>
        </w:tc>
      </w:tr>
      <w:tr w14:paraId="1865D8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46B21BF5">
            <w:pPr>
              <w:spacing w:beforeLines="0" w:afterLines="0" w:line="375" w:lineRule="exact"/>
              <w:ind w:left="20"/>
              <w:rPr>
                <w:rFonts w:hint="eastAsia" w:ascii="Dialog" w:hAnsi="Dialog"/>
                <w:sz w:val="32"/>
                <w:szCs w:val="24"/>
              </w:rPr>
            </w:pPr>
            <w:r>
              <w:rPr>
                <w:rFonts w:hint="eastAsia" w:ascii="Dialog" w:hAnsi="Dialog"/>
                <w:sz w:val="32"/>
                <w:szCs w:val="24"/>
              </w:rPr>
              <w:t>22、单位整体支出绩效目标表</w:t>
            </w:r>
          </w:p>
        </w:tc>
      </w:tr>
      <w:tr w14:paraId="3A66EA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43BB6D39">
            <w:pPr>
              <w:spacing w:beforeLines="0" w:afterLines="0" w:line="375" w:lineRule="exact"/>
              <w:ind w:left="20"/>
              <w:rPr>
                <w:rFonts w:hint="eastAsia" w:ascii="Dialog" w:hAnsi="Dialog"/>
                <w:sz w:val="32"/>
                <w:szCs w:val="24"/>
              </w:rPr>
            </w:pPr>
            <w:r>
              <w:rPr>
                <w:rFonts w:hint="eastAsia" w:ascii="Dialog" w:hAnsi="Dialog"/>
                <w:sz w:val="32"/>
                <w:szCs w:val="24"/>
              </w:rPr>
              <w:t>23、一般公共预算基本支出表</w:t>
            </w:r>
          </w:p>
        </w:tc>
      </w:tr>
      <w:tr w14:paraId="573411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229F5513">
            <w:pPr>
              <w:spacing w:beforeLines="0" w:afterLines="0" w:line="375" w:lineRule="exact"/>
              <w:ind w:left="20"/>
              <w:rPr>
                <w:rFonts w:hint="eastAsia" w:ascii="Dialog" w:hAnsi="Dialog"/>
                <w:color w:val="FF0000"/>
                <w:sz w:val="32"/>
                <w:szCs w:val="24"/>
              </w:rPr>
            </w:pPr>
            <w:r>
              <w:rPr>
                <w:rFonts w:hint="eastAsia" w:ascii="Dialog" w:hAnsi="Dialog"/>
                <w:color w:val="FF0000"/>
                <w:sz w:val="32"/>
                <w:szCs w:val="24"/>
              </w:rPr>
              <w:t>注：以上单位预算公开报表中，空表表示本单位无相关收支情况。</w:t>
            </w:r>
          </w:p>
        </w:tc>
      </w:tr>
      <w:tr w14:paraId="745A32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2" w:hRule="atLeast"/>
        </w:trPr>
        <w:tc>
          <w:tcPr>
            <w:tcW w:w="15306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241FC089">
            <w:pPr>
              <w:spacing w:beforeLines="0" w:afterLines="0"/>
              <w:rPr>
                <w:rFonts w:hint="default"/>
                <w:sz w:val="24"/>
                <w:szCs w:val="24"/>
              </w:rPr>
            </w:pPr>
          </w:p>
        </w:tc>
      </w:tr>
      <w:tr w14:paraId="547758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2" w:hRule="atLeast"/>
        </w:trPr>
        <w:tc>
          <w:tcPr>
            <w:tcW w:w="15306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6F7B1CDD">
            <w:pPr>
              <w:spacing w:beforeLines="0" w:afterLines="0"/>
              <w:rPr>
                <w:rFonts w:hint="default"/>
                <w:sz w:val="24"/>
                <w:szCs w:val="24"/>
              </w:rPr>
            </w:pPr>
          </w:p>
        </w:tc>
      </w:tr>
      <w:tr w14:paraId="61317C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24EB8F09">
            <w:pPr>
              <w:spacing w:beforeLines="0" w:afterLines="0" w:line="375" w:lineRule="exact"/>
              <w:ind w:left="20"/>
              <w:jc w:val="center"/>
              <w:rPr>
                <w:rFonts w:hint="eastAsia" w:ascii="Dialog" w:hAnsi="Dialog"/>
                <w:sz w:val="32"/>
                <w:szCs w:val="24"/>
              </w:rPr>
            </w:pPr>
            <w:r>
              <w:rPr>
                <w:rFonts w:hint="eastAsia" w:ascii="Dialog" w:hAnsi="Dialog"/>
                <w:sz w:val="32"/>
                <w:szCs w:val="24"/>
              </w:rPr>
              <w:t>第一部分  2026年单位预算说明</w:t>
            </w:r>
          </w:p>
        </w:tc>
      </w:tr>
      <w:tr w14:paraId="6117C2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2" w:hRule="atLeast"/>
        </w:trPr>
        <w:tc>
          <w:tcPr>
            <w:tcW w:w="15306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7DFF6B65">
            <w:pPr>
              <w:spacing w:beforeLines="0" w:afterLines="0"/>
              <w:rPr>
                <w:rFonts w:hint="default"/>
                <w:sz w:val="24"/>
                <w:szCs w:val="24"/>
              </w:rPr>
            </w:pPr>
          </w:p>
        </w:tc>
      </w:tr>
      <w:tr w14:paraId="186A66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6C460C44">
            <w:pPr>
              <w:spacing w:beforeLines="0" w:afterLines="0" w:line="375" w:lineRule="exact"/>
              <w:ind w:left="20"/>
              <w:rPr>
                <w:rFonts w:hint="eastAsia" w:ascii="Dialog" w:hAnsi="Dialog"/>
                <w:sz w:val="32"/>
                <w:szCs w:val="24"/>
              </w:rPr>
            </w:pPr>
            <w:r>
              <w:rPr>
                <w:rFonts w:hint="eastAsia" w:ascii="Dialog" w:hAnsi="Dialog"/>
                <w:sz w:val="32"/>
                <w:szCs w:val="24"/>
              </w:rPr>
              <w:t xml:space="preserve">  一、单位基本概况</w:t>
            </w:r>
          </w:p>
        </w:tc>
      </w:tr>
      <w:tr w14:paraId="08D81D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25290989">
            <w:pPr>
              <w:spacing w:beforeLines="0" w:afterLines="0" w:line="375" w:lineRule="exact"/>
              <w:ind w:left="20"/>
              <w:rPr>
                <w:rFonts w:hint="eastAsia" w:ascii="宋体" w:hAnsi="宋体" w:eastAsia="宋体"/>
                <w:sz w:val="32"/>
                <w:szCs w:val="24"/>
              </w:rPr>
            </w:pPr>
            <w:r>
              <w:rPr>
                <w:rFonts w:hint="eastAsia" w:ascii="宋体" w:hAnsi="宋体" w:eastAsia="宋体"/>
                <w:sz w:val="32"/>
                <w:szCs w:val="24"/>
              </w:rPr>
              <w:t xml:space="preserve">  （一）职能职责</w:t>
            </w:r>
          </w:p>
        </w:tc>
      </w:tr>
      <w:tr w14:paraId="5CA6D4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79505807">
            <w:pPr>
              <w:spacing w:beforeLines="0" w:afterLines="0" w:line="375" w:lineRule="exact"/>
              <w:ind w:left="20" w:firstLine="640" w:firstLineChars="200"/>
              <w:rPr>
                <w:rFonts w:hint="eastAsia" w:ascii="宋体" w:hAnsi="宋体" w:eastAsia="宋体"/>
                <w:sz w:val="32"/>
                <w:szCs w:val="24"/>
              </w:rPr>
            </w:pPr>
            <w:r>
              <w:rPr>
                <w:rFonts w:hint="eastAsia" w:ascii="宋体" w:hAnsi="宋体" w:cs="Times New Roman"/>
                <w:sz w:val="32"/>
                <w:szCs w:val="24"/>
              </w:rPr>
              <w:t>负责对城市生活无着的流浪乞讨人员实行临时性救助。负责保障救助对象基本生活权益，及时发送乘车凭证及路途生活费，为其返乡提供服务。</w:t>
            </w:r>
          </w:p>
        </w:tc>
      </w:tr>
      <w:tr w14:paraId="296129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5B5863DE">
            <w:pPr>
              <w:spacing w:beforeLines="0" w:afterLines="0" w:line="375" w:lineRule="exact"/>
              <w:ind w:left="20"/>
              <w:rPr>
                <w:rFonts w:hint="eastAsia" w:ascii="宋体" w:hAnsi="宋体" w:eastAsia="宋体"/>
                <w:sz w:val="32"/>
                <w:szCs w:val="24"/>
              </w:rPr>
            </w:pPr>
            <w:r>
              <w:rPr>
                <w:rFonts w:hint="eastAsia" w:ascii="宋体" w:hAnsi="宋体" w:eastAsia="宋体"/>
                <w:sz w:val="32"/>
                <w:szCs w:val="24"/>
              </w:rPr>
              <w:t xml:space="preserve">  （二）机构设置</w:t>
            </w:r>
          </w:p>
        </w:tc>
      </w:tr>
      <w:tr w14:paraId="2ECDCC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25DF75F6">
            <w:pPr>
              <w:pStyle w:val="5"/>
              <w:widowControl/>
              <w:spacing w:before="0" w:beforeLines="0" w:beforeAutospacing="0" w:after="0" w:afterLines="0" w:afterAutospacing="0" w:line="33" w:lineRule="atLeast"/>
              <w:ind w:firstLine="640" w:firstLineChars="200"/>
              <w:jc w:val="both"/>
              <w:rPr>
                <w:rFonts w:hint="eastAsia" w:ascii="宋体" w:hAnsi="宋体" w:cs="Times New Roman"/>
                <w:sz w:val="32"/>
                <w:szCs w:val="24"/>
              </w:rPr>
            </w:pPr>
            <w:r>
              <w:rPr>
                <w:rFonts w:hint="eastAsia" w:ascii="宋体" w:hAnsi="宋体" w:cs="Times New Roman"/>
                <w:sz w:val="32"/>
                <w:szCs w:val="24"/>
              </w:rPr>
              <w:t>根据编委核定，我站内设部门6个，编制人员24人，全部纳入202</w:t>
            </w:r>
            <w:r>
              <w:rPr>
                <w:rFonts w:hint="eastAsia" w:ascii="宋体" w:hAnsi="宋体" w:cs="Times New Roman"/>
                <w:sz w:val="32"/>
                <w:szCs w:val="24"/>
                <w:lang w:val="en-US" w:eastAsia="zh-CN"/>
              </w:rPr>
              <w:t>5</w:t>
            </w:r>
            <w:r>
              <w:rPr>
                <w:rFonts w:hint="eastAsia" w:ascii="宋体" w:hAnsi="宋体" w:cs="Times New Roman"/>
                <w:sz w:val="32"/>
                <w:szCs w:val="24"/>
              </w:rPr>
              <w:t>年部门预算编制范围。</w:t>
            </w:r>
          </w:p>
          <w:p w14:paraId="492E5B62">
            <w:pPr>
              <w:pStyle w:val="5"/>
              <w:widowControl/>
              <w:spacing w:before="0" w:beforeLines="0" w:beforeAutospacing="0" w:after="0" w:afterLines="0" w:afterAutospacing="0" w:line="33" w:lineRule="atLeast"/>
              <w:ind w:firstLine="640" w:firstLineChars="200"/>
              <w:jc w:val="both"/>
              <w:rPr>
                <w:rFonts w:hint="eastAsia" w:ascii="宋体" w:hAnsi="宋体" w:cs="Times New Roman"/>
                <w:sz w:val="32"/>
                <w:szCs w:val="24"/>
              </w:rPr>
            </w:pPr>
            <w:r>
              <w:rPr>
                <w:rFonts w:hint="eastAsia" w:ascii="宋体" w:hAnsi="宋体" w:cs="Times New Roman"/>
                <w:sz w:val="32"/>
                <w:szCs w:val="24"/>
              </w:rPr>
              <w:t>内设部门分别是</w:t>
            </w:r>
            <w:r>
              <w:rPr>
                <w:rFonts w:hint="eastAsia" w:ascii="宋体" w:hAnsi="宋体" w:eastAsia="宋体" w:cs="Times New Roman"/>
                <w:color w:val="000000"/>
                <w:sz w:val="32"/>
                <w:szCs w:val="24"/>
                <w:lang w:val="en-US" w:eastAsia="zh-CN" w:bidi="ar"/>
              </w:rPr>
              <w:t>（一）</w:t>
            </w:r>
            <w:r>
              <w:rPr>
                <w:rFonts w:hint="eastAsia" w:ascii="宋体" w:hAnsi="宋体" w:cs="Times New Roman"/>
                <w:sz w:val="32"/>
                <w:szCs w:val="24"/>
              </w:rPr>
              <w:t>站领导</w:t>
            </w:r>
            <w:r>
              <w:rPr>
                <w:rFonts w:hint="eastAsia" w:ascii="宋体" w:hAnsi="宋体" w:cs="Times New Roman"/>
                <w:sz w:val="32"/>
                <w:szCs w:val="24"/>
                <w:lang w:eastAsia="zh-CN"/>
              </w:rPr>
              <w:t>、</w:t>
            </w:r>
            <w:r>
              <w:rPr>
                <w:rFonts w:hint="eastAsia" w:ascii="宋体" w:hAnsi="宋体" w:eastAsia="宋体" w:cs="Times New Roman"/>
                <w:color w:val="000000"/>
                <w:sz w:val="32"/>
                <w:szCs w:val="24"/>
                <w:lang w:val="en-US" w:eastAsia="zh-CN" w:bidi="ar"/>
              </w:rPr>
              <w:t>（二）</w:t>
            </w:r>
            <w:r>
              <w:rPr>
                <w:rFonts w:hint="eastAsia" w:ascii="宋体" w:hAnsi="宋体" w:cs="Times New Roman"/>
                <w:sz w:val="32"/>
                <w:szCs w:val="24"/>
              </w:rPr>
              <w:t>综合部</w:t>
            </w:r>
            <w:r>
              <w:rPr>
                <w:rFonts w:hint="eastAsia" w:ascii="宋体" w:hAnsi="宋体" w:cs="Times New Roman"/>
                <w:sz w:val="32"/>
                <w:szCs w:val="24"/>
                <w:lang w:eastAsia="zh-CN"/>
              </w:rPr>
              <w:t>、</w:t>
            </w:r>
            <w:r>
              <w:rPr>
                <w:rFonts w:hint="eastAsia" w:ascii="宋体" w:hAnsi="宋体" w:eastAsia="宋体" w:cs="Times New Roman"/>
                <w:color w:val="000000"/>
                <w:sz w:val="32"/>
                <w:szCs w:val="24"/>
                <w:lang w:val="en-US" w:eastAsia="zh-CN" w:bidi="ar"/>
              </w:rPr>
              <w:t>（三）</w:t>
            </w:r>
            <w:r>
              <w:rPr>
                <w:rFonts w:hint="eastAsia" w:ascii="宋体" w:hAnsi="宋体" w:cs="Times New Roman"/>
                <w:sz w:val="32"/>
                <w:szCs w:val="24"/>
              </w:rPr>
              <w:t>救助管理部</w:t>
            </w:r>
            <w:r>
              <w:rPr>
                <w:rFonts w:hint="eastAsia" w:ascii="宋体" w:hAnsi="宋体" w:cs="Times New Roman"/>
                <w:sz w:val="32"/>
                <w:szCs w:val="24"/>
                <w:lang w:eastAsia="zh-CN"/>
              </w:rPr>
              <w:t>、</w:t>
            </w:r>
            <w:r>
              <w:rPr>
                <w:rFonts w:hint="eastAsia" w:ascii="宋体" w:hAnsi="宋体" w:eastAsia="宋体" w:cs="Times New Roman"/>
                <w:color w:val="000000"/>
                <w:sz w:val="32"/>
                <w:szCs w:val="24"/>
                <w:lang w:val="en-US" w:eastAsia="zh-CN" w:bidi="ar"/>
              </w:rPr>
              <w:t>（四）</w:t>
            </w:r>
            <w:r>
              <w:rPr>
                <w:rFonts w:hint="eastAsia" w:ascii="宋体" w:hAnsi="宋体" w:cs="Times New Roman"/>
                <w:sz w:val="32"/>
                <w:szCs w:val="24"/>
              </w:rPr>
              <w:t>未成年人保护部</w:t>
            </w:r>
            <w:r>
              <w:rPr>
                <w:rFonts w:hint="eastAsia" w:ascii="宋体" w:hAnsi="宋体" w:cs="Times New Roman"/>
                <w:sz w:val="32"/>
                <w:szCs w:val="24"/>
                <w:lang w:eastAsia="zh-CN"/>
              </w:rPr>
              <w:t>、</w:t>
            </w:r>
            <w:r>
              <w:rPr>
                <w:rFonts w:hint="eastAsia" w:ascii="宋体" w:hAnsi="宋体" w:eastAsia="宋体" w:cs="Times New Roman"/>
                <w:color w:val="000000"/>
                <w:sz w:val="32"/>
                <w:szCs w:val="24"/>
                <w:lang w:val="en-US" w:eastAsia="zh-CN" w:bidi="ar"/>
              </w:rPr>
              <w:t>（五）</w:t>
            </w:r>
            <w:r>
              <w:rPr>
                <w:rFonts w:hint="eastAsia" w:ascii="宋体" w:hAnsi="宋体" w:cs="Times New Roman"/>
                <w:sz w:val="32"/>
                <w:szCs w:val="24"/>
              </w:rPr>
              <w:t>后勤管理部</w:t>
            </w:r>
            <w:r>
              <w:rPr>
                <w:rFonts w:hint="eastAsia" w:ascii="宋体" w:hAnsi="宋体" w:cs="Times New Roman"/>
                <w:sz w:val="32"/>
                <w:szCs w:val="24"/>
                <w:lang w:eastAsia="zh-CN"/>
              </w:rPr>
              <w:t>、</w:t>
            </w:r>
            <w:r>
              <w:rPr>
                <w:rFonts w:hint="eastAsia" w:ascii="宋体" w:hAnsi="宋体" w:eastAsia="宋体" w:cs="Times New Roman"/>
                <w:color w:val="000000"/>
                <w:sz w:val="32"/>
                <w:szCs w:val="24"/>
                <w:lang w:val="en-US" w:eastAsia="zh-CN" w:bidi="ar"/>
              </w:rPr>
              <w:t>（六）</w:t>
            </w:r>
            <w:r>
              <w:rPr>
                <w:rFonts w:hint="eastAsia" w:ascii="宋体" w:hAnsi="宋体" w:cs="Times New Roman"/>
                <w:sz w:val="32"/>
                <w:szCs w:val="24"/>
              </w:rPr>
              <w:t>医务室</w:t>
            </w:r>
            <w:r>
              <w:rPr>
                <w:rFonts w:hint="eastAsia" w:ascii="宋体" w:hAnsi="宋体" w:cs="Times New Roman"/>
                <w:sz w:val="32"/>
                <w:szCs w:val="24"/>
                <w:lang w:eastAsia="zh-CN"/>
              </w:rPr>
              <w:t>。</w:t>
            </w:r>
          </w:p>
          <w:p w14:paraId="5EB4F9A4">
            <w:pPr>
              <w:spacing w:beforeLines="0" w:afterLines="0" w:line="375" w:lineRule="exact"/>
              <w:ind w:left="20"/>
              <w:rPr>
                <w:rFonts w:hint="eastAsia" w:ascii="宋体" w:hAnsi="宋体" w:eastAsia="宋体"/>
                <w:sz w:val="32"/>
                <w:szCs w:val="24"/>
              </w:rPr>
            </w:pPr>
          </w:p>
        </w:tc>
      </w:tr>
      <w:tr w14:paraId="6732F9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225F272D">
            <w:pPr>
              <w:spacing w:beforeLines="0" w:afterLines="0" w:line="375" w:lineRule="exact"/>
              <w:ind w:left="20"/>
              <w:rPr>
                <w:rFonts w:hint="eastAsia" w:ascii="Dialog" w:hAnsi="Dialog"/>
                <w:sz w:val="32"/>
                <w:szCs w:val="24"/>
              </w:rPr>
            </w:pPr>
            <w:r>
              <w:rPr>
                <w:rFonts w:hint="eastAsia" w:ascii="Dialog" w:hAnsi="Dialog"/>
                <w:sz w:val="32"/>
                <w:szCs w:val="24"/>
              </w:rPr>
              <w:t xml:space="preserve">  二、单位预算单位构成</w:t>
            </w:r>
          </w:p>
        </w:tc>
      </w:tr>
      <w:tr w14:paraId="0E332B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283EF49D">
            <w:pPr>
              <w:spacing w:beforeLines="0" w:afterLines="0" w:line="375" w:lineRule="exact"/>
              <w:ind w:left="20"/>
              <w:rPr>
                <w:rFonts w:hint="eastAsia" w:ascii="宋体" w:hAnsi="宋体" w:eastAsia="宋体"/>
                <w:sz w:val="32"/>
                <w:szCs w:val="24"/>
              </w:rPr>
            </w:pPr>
            <w:r>
              <w:rPr>
                <w:rFonts w:hint="eastAsia" w:ascii="宋体" w:hAnsi="宋体" w:eastAsia="宋体"/>
                <w:sz w:val="32"/>
                <w:szCs w:val="24"/>
              </w:rPr>
              <w:t xml:space="preserve">  本单位预算仅含本级预算。</w:t>
            </w:r>
          </w:p>
        </w:tc>
      </w:tr>
      <w:tr w14:paraId="045672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6A2E0B3D">
            <w:pPr>
              <w:spacing w:beforeLines="0" w:afterLines="0" w:line="375" w:lineRule="exact"/>
              <w:ind w:left="20"/>
              <w:rPr>
                <w:rFonts w:hint="eastAsia" w:ascii="Dialog" w:hAnsi="Dialog"/>
                <w:sz w:val="32"/>
                <w:szCs w:val="24"/>
              </w:rPr>
            </w:pPr>
            <w:r>
              <w:rPr>
                <w:rFonts w:hint="eastAsia" w:ascii="Dialog" w:hAnsi="Dialog"/>
                <w:sz w:val="32"/>
                <w:szCs w:val="24"/>
              </w:rPr>
              <w:t xml:space="preserve">  三、单位收支总体情况</w:t>
            </w:r>
          </w:p>
        </w:tc>
      </w:tr>
      <w:tr w14:paraId="2A5AA4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8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684A9545">
            <w:pPr>
              <w:spacing w:beforeLines="0" w:afterLines="0" w:line="375" w:lineRule="exact"/>
              <w:ind w:left="20"/>
              <w:rPr>
                <w:rFonts w:hint="eastAsia" w:ascii="宋体" w:hAnsi="宋体" w:eastAsia="宋体"/>
                <w:sz w:val="32"/>
                <w:szCs w:val="24"/>
              </w:rPr>
            </w:pPr>
            <w:r>
              <w:rPr>
                <w:rFonts w:hint="eastAsia" w:ascii="宋体" w:hAnsi="宋体" w:eastAsia="宋体"/>
                <w:sz w:val="32"/>
                <w:szCs w:val="24"/>
              </w:rPr>
              <w:t xml:space="preserve">  本单位2026年没有政府性基金预算拨款、国有资本经营预算收入和纳入专户管理的非税收入拨款收入，也没有使用政府性基金预算拨款、国有资本经营预算收入和纳入专户管理的非税收入拨款安排的支出，所以公开的附件15、16、17、18、19表均为空。</w:t>
            </w:r>
          </w:p>
        </w:tc>
      </w:tr>
      <w:tr w14:paraId="172B3E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78243B42">
            <w:pPr>
              <w:spacing w:beforeLines="0" w:afterLines="0" w:line="375" w:lineRule="exact"/>
              <w:ind w:left="20"/>
              <w:rPr>
                <w:rFonts w:hint="eastAsia" w:ascii="Dialog" w:hAnsi="Dialog"/>
                <w:sz w:val="32"/>
                <w:szCs w:val="24"/>
              </w:rPr>
            </w:pPr>
            <w:r>
              <w:rPr>
                <w:rFonts w:hint="eastAsia" w:ascii="Dialog" w:hAnsi="Dialog"/>
                <w:sz w:val="32"/>
                <w:szCs w:val="24"/>
              </w:rPr>
              <w:t xml:space="preserve">  （一）收入预算</w:t>
            </w:r>
          </w:p>
        </w:tc>
      </w:tr>
      <w:tr w14:paraId="7202A2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69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4A9DF148">
            <w:pPr>
              <w:spacing w:beforeLines="0" w:afterLines="0" w:line="375" w:lineRule="exact"/>
              <w:ind w:left="20"/>
              <w:rPr>
                <w:rFonts w:hint="eastAsia" w:ascii="宋体" w:hAnsi="宋体" w:eastAsia="宋体"/>
                <w:sz w:val="32"/>
                <w:szCs w:val="24"/>
              </w:rPr>
            </w:pPr>
            <w:r>
              <w:rPr>
                <w:rFonts w:hint="eastAsia" w:ascii="宋体" w:hAnsi="宋体" w:eastAsia="宋体"/>
                <w:sz w:val="32"/>
                <w:szCs w:val="24"/>
              </w:rPr>
              <w:t xml:space="preserve">  包括一般公共预算、政府性基金、国有资本经营预算等财政拨款收入，以及经营收入、事业收入等单位资金。2026年度本单位收入预算541.45万元，其中，一般公共预算拨款541.45万元，政府性基金预算资金0.00万元(所以公开的附件17为空)，国有资本经营预算资金0.00万元(所以公开的附件18为空)，财政专户管理资金0.00万元(所以公开的附件19为空)，上级补助收入资金0.00万元，事业单位经营收入资金0.00万元，上年结转结余0.00万元。(数据来源见表2)本单位2026年收入较去年增加</w:t>
            </w:r>
            <w:r>
              <w:rPr>
                <w:rFonts w:hint="eastAsia" w:ascii="宋体" w:hAnsi="宋体"/>
                <w:sz w:val="32"/>
                <w:szCs w:val="24"/>
                <w:lang w:val="en-US" w:eastAsia="zh-CN"/>
              </w:rPr>
              <w:t>30.38</w:t>
            </w:r>
            <w:r>
              <w:rPr>
                <w:rFonts w:hint="eastAsia" w:ascii="宋体" w:hAnsi="宋体" w:eastAsia="宋体"/>
                <w:sz w:val="32"/>
                <w:szCs w:val="24"/>
              </w:rPr>
              <w:t>万元，上升</w:t>
            </w:r>
            <w:r>
              <w:rPr>
                <w:rFonts w:hint="eastAsia" w:ascii="宋体" w:hAnsi="宋体"/>
                <w:sz w:val="32"/>
                <w:szCs w:val="24"/>
                <w:lang w:val="en-US" w:eastAsia="zh-CN"/>
              </w:rPr>
              <w:t>5.94</w:t>
            </w:r>
            <w:r>
              <w:rPr>
                <w:rFonts w:hint="eastAsia" w:ascii="宋体" w:hAnsi="宋体" w:eastAsia="宋体"/>
                <w:sz w:val="32"/>
                <w:szCs w:val="24"/>
              </w:rPr>
              <w:t>%，主要是因为</w:t>
            </w:r>
            <w:r>
              <w:rPr>
                <w:rFonts w:hint="eastAsia" w:ascii="宋体" w:hAnsi="宋体"/>
                <w:sz w:val="32"/>
                <w:szCs w:val="24"/>
                <w:lang w:eastAsia="zh-CN"/>
              </w:rPr>
              <w:t>年初下达抚恤金与本年度在职人员晋级晋档。</w:t>
            </w:r>
          </w:p>
        </w:tc>
      </w:tr>
      <w:tr w14:paraId="23CC48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41AF5994">
            <w:pPr>
              <w:spacing w:beforeLines="0" w:afterLines="0" w:line="375" w:lineRule="exact"/>
              <w:ind w:left="20"/>
              <w:rPr>
                <w:rFonts w:hint="eastAsia" w:ascii="Dialog" w:hAnsi="Dialog"/>
                <w:sz w:val="32"/>
                <w:szCs w:val="24"/>
              </w:rPr>
            </w:pPr>
            <w:r>
              <w:rPr>
                <w:rFonts w:hint="eastAsia" w:ascii="Dialog" w:hAnsi="Dialog"/>
                <w:sz w:val="32"/>
                <w:szCs w:val="24"/>
              </w:rPr>
              <w:t xml:space="preserve">  （二）支出预算</w:t>
            </w:r>
          </w:p>
        </w:tc>
      </w:tr>
      <w:tr w14:paraId="6847B9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1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13D31677">
            <w:pPr>
              <w:spacing w:beforeLines="0" w:afterLines="0" w:line="375" w:lineRule="exact"/>
              <w:ind w:left="20"/>
              <w:rPr>
                <w:rFonts w:hint="eastAsia" w:ascii="宋体" w:hAnsi="宋体" w:eastAsia="宋体"/>
                <w:sz w:val="32"/>
                <w:szCs w:val="24"/>
              </w:rPr>
            </w:pPr>
            <w:r>
              <w:rPr>
                <w:rFonts w:hint="eastAsia" w:ascii="宋体" w:hAnsi="宋体" w:eastAsia="宋体"/>
                <w:sz w:val="32"/>
                <w:szCs w:val="24"/>
              </w:rPr>
              <w:t xml:space="preserve">  2026年本单位支出预算541.45万元，其中，208社会保障和就业支出507.92万元，210卫生健康支出6.70万元，221住房保障支出26.83万元，支出较去年增加</w:t>
            </w:r>
            <w:r>
              <w:rPr>
                <w:rFonts w:hint="eastAsia" w:ascii="宋体" w:hAnsi="宋体"/>
                <w:sz w:val="32"/>
                <w:szCs w:val="24"/>
                <w:lang w:val="en-US" w:eastAsia="zh-CN"/>
              </w:rPr>
              <w:t>30.38</w:t>
            </w:r>
            <w:r>
              <w:rPr>
                <w:rFonts w:hint="eastAsia" w:ascii="宋体" w:hAnsi="宋体" w:eastAsia="宋体"/>
                <w:sz w:val="32"/>
                <w:szCs w:val="24"/>
              </w:rPr>
              <w:t>万元，上升</w:t>
            </w:r>
            <w:r>
              <w:rPr>
                <w:rFonts w:hint="eastAsia" w:ascii="宋体" w:hAnsi="宋体"/>
                <w:sz w:val="32"/>
                <w:szCs w:val="24"/>
                <w:lang w:val="en-US" w:eastAsia="zh-CN"/>
              </w:rPr>
              <w:t>5.94</w:t>
            </w:r>
            <w:r>
              <w:rPr>
                <w:rFonts w:hint="eastAsia" w:ascii="宋体" w:hAnsi="宋体" w:eastAsia="宋体"/>
                <w:sz w:val="32"/>
                <w:szCs w:val="24"/>
              </w:rPr>
              <w:t>%，主要是因为</w:t>
            </w:r>
            <w:r>
              <w:rPr>
                <w:rFonts w:hint="eastAsia" w:ascii="宋体" w:hAnsi="宋体"/>
                <w:sz w:val="32"/>
                <w:szCs w:val="24"/>
                <w:lang w:eastAsia="zh-CN"/>
              </w:rPr>
              <w:t>公积金缴纳比例调整，本年度在职人员晋级晋档，相关社保基数增加。</w:t>
            </w:r>
          </w:p>
        </w:tc>
      </w:tr>
      <w:tr w14:paraId="49965E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61C8069B">
            <w:pPr>
              <w:spacing w:beforeLines="0" w:afterLines="0" w:line="375" w:lineRule="exact"/>
              <w:ind w:left="20"/>
              <w:rPr>
                <w:rFonts w:hint="eastAsia" w:ascii="Dialog" w:hAnsi="Dialog"/>
                <w:sz w:val="32"/>
                <w:szCs w:val="24"/>
              </w:rPr>
            </w:pPr>
            <w:r>
              <w:rPr>
                <w:rFonts w:hint="eastAsia" w:ascii="Dialog" w:hAnsi="Dialog"/>
                <w:sz w:val="32"/>
                <w:szCs w:val="24"/>
              </w:rPr>
              <w:t xml:space="preserve">  四、一般公共预算拨款支出预算</w:t>
            </w:r>
          </w:p>
        </w:tc>
      </w:tr>
      <w:tr w14:paraId="698122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1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2C9F39C1">
            <w:pPr>
              <w:spacing w:beforeLines="0" w:afterLines="0" w:line="375" w:lineRule="exact"/>
              <w:ind w:left="20"/>
              <w:rPr>
                <w:rFonts w:hint="eastAsia" w:ascii="宋体" w:hAnsi="宋体" w:eastAsia="宋体"/>
                <w:sz w:val="32"/>
                <w:szCs w:val="24"/>
              </w:rPr>
            </w:pPr>
            <w:r>
              <w:rPr>
                <w:rFonts w:hint="eastAsia" w:ascii="宋体" w:hAnsi="宋体" w:eastAsia="宋体"/>
                <w:sz w:val="32"/>
                <w:szCs w:val="24"/>
              </w:rPr>
              <w:t xml:space="preserve">  2026年一般公共预算拨款支出预算541.45万元，其中，208社会保障和就业支出507.92万元，占93.81%；210卫生健康支出6.70万元，占1.24%；221住房保障支出26.83万元，占4.95%；具体安排情况如下：</w:t>
            </w:r>
          </w:p>
        </w:tc>
      </w:tr>
      <w:tr w14:paraId="716732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8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47A5DCDB">
            <w:pPr>
              <w:spacing w:beforeLines="0" w:afterLines="0" w:line="375" w:lineRule="exact"/>
              <w:ind w:left="20"/>
              <w:rPr>
                <w:rFonts w:hint="eastAsia" w:ascii="宋体" w:hAnsi="宋体" w:eastAsia="宋体"/>
                <w:sz w:val="32"/>
                <w:szCs w:val="24"/>
              </w:rPr>
            </w:pPr>
            <w:r>
              <w:rPr>
                <w:rFonts w:hint="eastAsia" w:ascii="宋体" w:hAnsi="宋体" w:eastAsia="宋体"/>
                <w:sz w:val="32"/>
                <w:szCs w:val="24"/>
              </w:rPr>
              <w:t xml:space="preserve">  （一）基本支出：2026年基本支出年初预算数为531.85万元（数据来源见表23），是指为保障单位机构正常运转、完成日常工作任务而发生的各项支出，包括用于基本工资、津贴补贴等人员经费以及办公费、印刷费、水电费、差旅费等日常公用经费。</w:t>
            </w:r>
          </w:p>
        </w:tc>
      </w:tr>
      <w:tr w14:paraId="5EA07B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8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32A9C141">
            <w:pPr>
              <w:spacing w:beforeLines="0" w:afterLines="0" w:line="375" w:lineRule="exact"/>
              <w:ind w:left="20"/>
              <w:rPr>
                <w:rFonts w:hint="eastAsia" w:ascii="宋体" w:hAnsi="宋体" w:eastAsia="宋体"/>
                <w:sz w:val="32"/>
                <w:szCs w:val="24"/>
              </w:rPr>
            </w:pPr>
            <w:r>
              <w:rPr>
                <w:rFonts w:hint="eastAsia" w:ascii="宋体" w:hAnsi="宋体" w:eastAsia="宋体"/>
                <w:sz w:val="32"/>
                <w:szCs w:val="24"/>
              </w:rPr>
              <w:t xml:space="preserve">  （二）项目支出：2026年项目支出年初预算数为9.60万元（数据来源见表20），是指单位为完成特定行政工作任务或事业发展目标而发生的支出，包括有关业务工作经费、运行维护经费、其他事业发展资金等。其中：2026年日常工作经费专项支出9.60万元，主要用于</w:t>
            </w:r>
            <w:r>
              <w:rPr>
                <w:rFonts w:hint="eastAsia" w:ascii="宋体" w:hAnsi="宋体"/>
                <w:color w:val="auto"/>
                <w:sz w:val="32"/>
                <w:szCs w:val="24"/>
                <w:lang w:eastAsia="zh-CN"/>
              </w:rPr>
              <w:t>对流浪乞讨人员实行临时性救助</w:t>
            </w:r>
            <w:r>
              <w:rPr>
                <w:rFonts w:hint="eastAsia" w:ascii="宋体" w:hAnsi="宋体"/>
                <w:color w:val="auto"/>
                <w:sz w:val="32"/>
                <w:szCs w:val="24"/>
              </w:rPr>
              <w:t>方面</w:t>
            </w:r>
            <w:r>
              <w:rPr>
                <w:rFonts w:hint="eastAsia" w:ascii="宋体" w:hAnsi="宋体" w:eastAsia="宋体"/>
                <w:sz w:val="32"/>
                <w:szCs w:val="24"/>
              </w:rPr>
              <w:t>。</w:t>
            </w:r>
          </w:p>
        </w:tc>
      </w:tr>
      <w:tr w14:paraId="751368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7D4F1C8E">
            <w:pPr>
              <w:spacing w:beforeLines="0" w:afterLines="0" w:line="375" w:lineRule="exact"/>
              <w:ind w:left="20"/>
              <w:rPr>
                <w:rFonts w:hint="eastAsia" w:ascii="Dialog" w:hAnsi="Dialog"/>
                <w:sz w:val="32"/>
                <w:szCs w:val="24"/>
              </w:rPr>
            </w:pPr>
            <w:r>
              <w:rPr>
                <w:rFonts w:hint="eastAsia" w:ascii="Dialog" w:hAnsi="Dialog"/>
                <w:sz w:val="32"/>
                <w:szCs w:val="24"/>
              </w:rPr>
              <w:t xml:space="preserve">  五、政府性基金预算支出</w:t>
            </w:r>
          </w:p>
        </w:tc>
      </w:tr>
      <w:tr w14:paraId="10C20C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6A3EFA4F">
            <w:pPr>
              <w:spacing w:beforeLines="0" w:afterLines="0" w:line="375" w:lineRule="exact"/>
              <w:ind w:left="20"/>
              <w:rPr>
                <w:rFonts w:hint="eastAsia" w:ascii="宋体" w:hAnsi="宋体" w:eastAsia="宋体"/>
                <w:sz w:val="32"/>
                <w:szCs w:val="24"/>
              </w:rPr>
            </w:pPr>
            <w:r>
              <w:rPr>
                <w:rFonts w:hint="eastAsia" w:ascii="宋体" w:hAnsi="宋体" w:eastAsia="宋体"/>
                <w:sz w:val="32"/>
                <w:szCs w:val="24"/>
              </w:rPr>
              <w:t xml:space="preserve">  2026年度本单位无政府性基金安排的支出，所以公开的附件15-17（政府性基金预算）为空。</w:t>
            </w:r>
          </w:p>
        </w:tc>
      </w:tr>
      <w:tr w14:paraId="5E184D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292B7FE0">
            <w:pPr>
              <w:spacing w:beforeLines="0" w:afterLines="0" w:line="375" w:lineRule="exact"/>
              <w:ind w:left="20"/>
              <w:rPr>
                <w:rFonts w:hint="eastAsia" w:ascii="Dialog" w:hAnsi="Dialog"/>
                <w:sz w:val="32"/>
                <w:szCs w:val="24"/>
              </w:rPr>
            </w:pPr>
            <w:r>
              <w:rPr>
                <w:rFonts w:hint="eastAsia" w:ascii="Dialog" w:hAnsi="Dialog"/>
                <w:sz w:val="32"/>
                <w:szCs w:val="24"/>
              </w:rPr>
              <w:t xml:space="preserve">  六、其他重要事项的情况说明</w:t>
            </w:r>
          </w:p>
        </w:tc>
      </w:tr>
      <w:tr w14:paraId="589E90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4A9A3157">
            <w:pPr>
              <w:spacing w:beforeLines="0" w:afterLines="0" w:line="375" w:lineRule="exact"/>
              <w:ind w:left="20"/>
              <w:rPr>
                <w:rFonts w:hint="eastAsia" w:ascii="Dialog" w:hAnsi="Dialog"/>
                <w:sz w:val="32"/>
                <w:szCs w:val="24"/>
              </w:rPr>
            </w:pPr>
            <w:r>
              <w:rPr>
                <w:rFonts w:hint="eastAsia" w:ascii="Dialog" w:hAnsi="Dialog"/>
                <w:sz w:val="32"/>
                <w:szCs w:val="24"/>
              </w:rPr>
              <w:t xml:space="preserve">  （一）机关运行经费</w:t>
            </w:r>
          </w:p>
        </w:tc>
      </w:tr>
      <w:tr w14:paraId="619927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1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4137D354">
            <w:pPr>
              <w:spacing w:beforeLines="0" w:afterLines="0" w:line="375" w:lineRule="exact"/>
              <w:ind w:left="20"/>
              <w:rPr>
                <w:rFonts w:hint="eastAsia" w:ascii="宋体" w:hAnsi="宋体" w:eastAsia="宋体"/>
                <w:sz w:val="32"/>
                <w:szCs w:val="24"/>
              </w:rPr>
            </w:pPr>
            <w:r>
              <w:rPr>
                <w:rFonts w:hint="eastAsia" w:ascii="宋体" w:hAnsi="宋体" w:eastAsia="宋体"/>
                <w:sz w:val="32"/>
                <w:szCs w:val="24"/>
              </w:rPr>
              <w:t xml:space="preserve">  本单位2026年机关运行经费当年一般公共预算拨款66.40万元（数据来源见表12），比上一年减少</w:t>
            </w:r>
            <w:r>
              <w:rPr>
                <w:rFonts w:hint="eastAsia" w:ascii="宋体" w:hAnsi="宋体"/>
                <w:sz w:val="32"/>
                <w:szCs w:val="24"/>
                <w:lang w:val="en-US" w:eastAsia="zh-CN"/>
              </w:rPr>
              <w:t>9.5</w:t>
            </w:r>
            <w:r>
              <w:rPr>
                <w:rFonts w:hint="eastAsia" w:ascii="宋体" w:hAnsi="宋体" w:eastAsia="宋体"/>
                <w:sz w:val="32"/>
                <w:szCs w:val="24"/>
              </w:rPr>
              <w:t>万元，下降</w:t>
            </w:r>
            <w:r>
              <w:rPr>
                <w:rFonts w:hint="eastAsia" w:ascii="宋体" w:hAnsi="宋体"/>
                <w:sz w:val="32"/>
                <w:szCs w:val="24"/>
                <w:lang w:val="en-US" w:eastAsia="zh-CN"/>
              </w:rPr>
              <w:t>12.52</w:t>
            </w:r>
            <w:r>
              <w:rPr>
                <w:rFonts w:hint="eastAsia" w:ascii="宋体" w:hAnsi="宋体" w:eastAsia="宋体"/>
                <w:sz w:val="32"/>
                <w:szCs w:val="24"/>
              </w:rPr>
              <w:t>%，主要原因是</w:t>
            </w:r>
            <w:r>
              <w:rPr>
                <w:rFonts w:hint="eastAsia" w:ascii="宋体" w:hAnsi="宋体"/>
                <w:color w:val="000000" w:themeColor="text1"/>
                <w:sz w:val="32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响应厉行节俭。</w:t>
            </w:r>
          </w:p>
        </w:tc>
      </w:tr>
      <w:tr w14:paraId="3BB07C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60A1B6F3">
            <w:pPr>
              <w:spacing w:beforeLines="0" w:afterLines="0" w:line="375" w:lineRule="exact"/>
              <w:ind w:left="20"/>
              <w:rPr>
                <w:rFonts w:hint="eastAsia" w:ascii="Dialog" w:hAnsi="Dialog"/>
                <w:sz w:val="32"/>
                <w:szCs w:val="24"/>
              </w:rPr>
            </w:pPr>
            <w:r>
              <w:rPr>
                <w:rFonts w:hint="eastAsia" w:ascii="Dialog" w:hAnsi="Dialog"/>
                <w:sz w:val="32"/>
                <w:szCs w:val="24"/>
              </w:rPr>
              <w:t xml:space="preserve">  （二）“三公”经费预算</w:t>
            </w:r>
          </w:p>
        </w:tc>
      </w:tr>
      <w:tr w14:paraId="3D6353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8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02D43589">
            <w:pPr>
              <w:spacing w:beforeLines="0" w:afterLines="0" w:line="375" w:lineRule="exact"/>
              <w:ind w:left="20"/>
              <w:rPr>
                <w:rFonts w:hint="eastAsia" w:ascii="宋体" w:hAnsi="宋体" w:eastAsia="宋体"/>
                <w:sz w:val="32"/>
                <w:szCs w:val="24"/>
              </w:rPr>
            </w:pPr>
            <w:r>
              <w:rPr>
                <w:rFonts w:hint="eastAsia" w:ascii="宋体" w:hAnsi="宋体" w:eastAsia="宋体"/>
                <w:sz w:val="32"/>
                <w:szCs w:val="24"/>
              </w:rPr>
              <w:t xml:space="preserve">  本单位2026年“三公”经费预算数8.20万元（数据来源见表14），其中，公务接待费0.20万元，因公出国（境）费0.00万元，公务用车购置及运行费8.00万元（其中，公务用车购置费0.00万元，公务用车运行费8.00万元）。2026年三公经费预算较上年增加</w:t>
            </w:r>
            <w:r>
              <w:rPr>
                <w:rFonts w:hint="eastAsia" w:ascii="宋体" w:hAnsi="宋体"/>
                <w:sz w:val="32"/>
                <w:szCs w:val="24"/>
                <w:lang w:val="en-US" w:eastAsia="zh-CN"/>
              </w:rPr>
              <w:t>1.2</w:t>
            </w:r>
            <w:r>
              <w:rPr>
                <w:rFonts w:hint="eastAsia" w:ascii="宋体" w:hAnsi="宋体" w:eastAsia="宋体"/>
                <w:sz w:val="32"/>
                <w:szCs w:val="24"/>
              </w:rPr>
              <w:t>万元，上升</w:t>
            </w:r>
            <w:r>
              <w:rPr>
                <w:rFonts w:hint="eastAsia" w:ascii="宋体" w:hAnsi="宋体"/>
                <w:sz w:val="32"/>
                <w:szCs w:val="24"/>
                <w:lang w:val="en-US" w:eastAsia="zh-CN"/>
              </w:rPr>
              <w:t>17.14</w:t>
            </w:r>
            <w:r>
              <w:rPr>
                <w:rFonts w:hint="eastAsia" w:ascii="宋体" w:hAnsi="宋体" w:eastAsia="宋体"/>
                <w:sz w:val="32"/>
                <w:szCs w:val="24"/>
              </w:rPr>
              <w:t>%，主要原因是</w:t>
            </w:r>
            <w:r>
              <w:rPr>
                <w:rFonts w:hint="eastAsia" w:ascii="宋体" w:hAnsi="宋体"/>
                <w:sz w:val="32"/>
                <w:szCs w:val="24"/>
                <w:lang w:eastAsia="zh-CN"/>
              </w:rPr>
              <w:t>公务用车预算增加。</w:t>
            </w:r>
          </w:p>
        </w:tc>
      </w:tr>
      <w:tr w14:paraId="2D0C0A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60BF2854">
            <w:pPr>
              <w:spacing w:beforeLines="0" w:afterLines="0" w:line="375" w:lineRule="exact"/>
              <w:ind w:left="20"/>
              <w:rPr>
                <w:rFonts w:hint="eastAsia" w:ascii="Dialog" w:hAnsi="Dialog"/>
                <w:sz w:val="32"/>
                <w:szCs w:val="24"/>
              </w:rPr>
            </w:pPr>
            <w:r>
              <w:rPr>
                <w:rFonts w:hint="eastAsia" w:ascii="Dialog" w:hAnsi="Dialog"/>
                <w:sz w:val="32"/>
                <w:szCs w:val="24"/>
              </w:rPr>
              <w:t xml:space="preserve">  （三）一般性支出情况</w:t>
            </w:r>
          </w:p>
        </w:tc>
      </w:tr>
      <w:tr w14:paraId="3841EB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5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6EEA78E8">
            <w:pPr>
              <w:spacing w:beforeLines="0" w:afterLines="0" w:line="375" w:lineRule="exact"/>
              <w:ind w:left="20"/>
              <w:rPr>
                <w:rFonts w:hint="eastAsia" w:ascii="宋体" w:hAnsi="宋体" w:eastAsia="宋体"/>
                <w:sz w:val="32"/>
                <w:szCs w:val="24"/>
              </w:rPr>
            </w:pPr>
            <w:r>
              <w:rPr>
                <w:rFonts w:hint="eastAsia" w:ascii="宋体" w:hAnsi="宋体" w:eastAsia="宋体"/>
                <w:sz w:val="32"/>
                <w:szCs w:val="24"/>
              </w:rPr>
              <w:t xml:space="preserve">  本单位2026年会议费预算0.00万元（数据来源见表13会议费、培训费），拟召开</w:t>
            </w:r>
            <w:r>
              <w:rPr>
                <w:rFonts w:hint="eastAsia" w:ascii="宋体" w:hAnsi="宋体"/>
                <w:sz w:val="32"/>
                <w:szCs w:val="24"/>
                <w:lang w:val="en-US" w:eastAsia="zh-CN"/>
              </w:rPr>
              <w:t>0</w:t>
            </w:r>
            <w:r>
              <w:rPr>
                <w:rFonts w:hint="eastAsia" w:ascii="宋体" w:hAnsi="宋体" w:eastAsia="宋体"/>
                <w:sz w:val="32"/>
                <w:szCs w:val="24"/>
              </w:rPr>
              <w:t>次会议，人数</w:t>
            </w:r>
            <w:r>
              <w:rPr>
                <w:rFonts w:hint="eastAsia" w:ascii="宋体" w:hAnsi="宋体"/>
                <w:sz w:val="32"/>
                <w:szCs w:val="24"/>
                <w:lang w:val="en-US" w:eastAsia="zh-CN"/>
              </w:rPr>
              <w:t>0</w:t>
            </w:r>
            <w:r>
              <w:rPr>
                <w:rFonts w:hint="eastAsia" w:ascii="宋体" w:hAnsi="宋体" w:eastAsia="宋体"/>
                <w:sz w:val="32"/>
                <w:szCs w:val="24"/>
              </w:rPr>
              <w:t>人，内容为2026年度本单位未计划安排会议、培训，未计划举办节庆、晚会、论坛、赛事活动；培训费预算0.00万元，拟开展</w:t>
            </w:r>
            <w:r>
              <w:rPr>
                <w:rFonts w:hint="eastAsia" w:ascii="宋体" w:hAnsi="宋体"/>
                <w:sz w:val="32"/>
                <w:szCs w:val="24"/>
                <w:lang w:val="en-US" w:eastAsia="zh-CN"/>
              </w:rPr>
              <w:t>0</w:t>
            </w:r>
            <w:r>
              <w:rPr>
                <w:rFonts w:hint="eastAsia" w:ascii="宋体" w:hAnsi="宋体" w:eastAsia="宋体"/>
                <w:sz w:val="32"/>
                <w:szCs w:val="24"/>
              </w:rPr>
              <w:t>次培训，人数</w:t>
            </w:r>
            <w:r>
              <w:rPr>
                <w:rFonts w:hint="eastAsia" w:ascii="宋体" w:hAnsi="宋体"/>
                <w:sz w:val="32"/>
                <w:szCs w:val="24"/>
                <w:lang w:val="en-US" w:eastAsia="zh-CN"/>
              </w:rPr>
              <w:t>0</w:t>
            </w:r>
            <w:r>
              <w:rPr>
                <w:rFonts w:hint="eastAsia" w:ascii="宋体" w:hAnsi="宋体" w:eastAsia="宋体"/>
                <w:sz w:val="32"/>
                <w:szCs w:val="24"/>
              </w:rPr>
              <w:t>人，内容为2026年度本单位未计划安排会议、培训，未计划举办节庆、晚会、论坛、赛事活动；计划举办节庆、晚会、论坛、赛事活动</w:t>
            </w:r>
            <w:r>
              <w:rPr>
                <w:rFonts w:hint="eastAsia" w:ascii="宋体" w:hAnsi="宋体"/>
                <w:sz w:val="32"/>
                <w:szCs w:val="24"/>
                <w:lang w:val="en-US" w:eastAsia="zh-CN"/>
              </w:rPr>
              <w:t>0</w:t>
            </w:r>
            <w:r>
              <w:rPr>
                <w:rFonts w:hint="eastAsia" w:ascii="宋体" w:hAnsi="宋体" w:eastAsia="宋体"/>
                <w:sz w:val="32"/>
                <w:szCs w:val="24"/>
              </w:rPr>
              <w:t>万元，内容为2026年度本单位未计划安排会议、培训，未计划举办节庆、晚会、论坛、赛事活动。（没有计划的注明“2026年度本单位未计划安排会议、培训，未计划举办节庆、晚会、论坛、赛事活动。”）</w:t>
            </w:r>
          </w:p>
        </w:tc>
      </w:tr>
      <w:tr w14:paraId="5CADEA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47D39D7E">
            <w:pPr>
              <w:spacing w:beforeLines="0" w:afterLines="0" w:line="375" w:lineRule="exact"/>
              <w:ind w:left="20"/>
              <w:rPr>
                <w:rFonts w:hint="eastAsia" w:ascii="Dialog" w:hAnsi="Dialog"/>
                <w:sz w:val="32"/>
                <w:szCs w:val="24"/>
              </w:rPr>
            </w:pPr>
            <w:r>
              <w:rPr>
                <w:rFonts w:hint="eastAsia" w:ascii="Dialog" w:hAnsi="Dialog"/>
                <w:sz w:val="32"/>
                <w:szCs w:val="24"/>
              </w:rPr>
              <w:t xml:space="preserve">  （四）委托业务费情况</w:t>
            </w:r>
          </w:p>
        </w:tc>
      </w:tr>
      <w:tr w14:paraId="29C914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8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55BC950E">
            <w:pPr>
              <w:spacing w:beforeLines="0" w:afterLines="0" w:line="375" w:lineRule="exact"/>
              <w:ind w:left="20"/>
              <w:rPr>
                <w:rFonts w:hint="eastAsia" w:ascii="宋体" w:hAnsi="宋体" w:eastAsia="宋体"/>
                <w:sz w:val="32"/>
                <w:szCs w:val="24"/>
              </w:rPr>
            </w:pPr>
            <w:r>
              <w:rPr>
                <w:rFonts w:hint="eastAsia" w:ascii="宋体" w:hAnsi="宋体" w:eastAsia="宋体"/>
                <w:sz w:val="32"/>
                <w:szCs w:val="24"/>
              </w:rPr>
              <w:t xml:space="preserve">  本单位2026年本级委托业务费</w:t>
            </w:r>
            <w:r>
              <w:rPr>
                <w:rFonts w:hint="eastAsia" w:ascii="宋体" w:hAnsi="宋体"/>
                <w:sz w:val="32"/>
                <w:szCs w:val="24"/>
                <w:lang w:val="en-US" w:eastAsia="zh-CN"/>
              </w:rPr>
              <w:t>0</w:t>
            </w:r>
            <w:r>
              <w:rPr>
                <w:rFonts w:hint="eastAsia" w:ascii="宋体" w:hAnsi="宋体" w:eastAsia="宋体"/>
                <w:sz w:val="32"/>
                <w:szCs w:val="24"/>
              </w:rPr>
              <w:t>万元，比上年预算减少</w:t>
            </w:r>
            <w:r>
              <w:rPr>
                <w:rFonts w:hint="eastAsia" w:ascii="宋体" w:hAnsi="宋体"/>
                <w:sz w:val="32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/>
                <w:sz w:val="32"/>
                <w:szCs w:val="24"/>
              </w:rPr>
              <w:t>万元，下降</w:t>
            </w:r>
            <w:r>
              <w:rPr>
                <w:rFonts w:hint="eastAsia" w:ascii="宋体" w:hAnsi="宋体"/>
                <w:sz w:val="32"/>
                <w:szCs w:val="24"/>
                <w:lang w:val="en-US" w:eastAsia="zh-CN"/>
              </w:rPr>
              <w:t>100</w:t>
            </w:r>
            <w:r>
              <w:rPr>
                <w:rFonts w:hint="eastAsia" w:ascii="宋体" w:hAnsi="宋体" w:eastAsia="宋体"/>
                <w:sz w:val="32"/>
                <w:szCs w:val="24"/>
              </w:rPr>
              <w:t>%，主要原因是</w:t>
            </w:r>
            <w:r>
              <w:rPr>
                <w:rFonts w:hint="eastAsia" w:ascii="宋体" w:hAnsi="宋体"/>
                <w:color w:val="000000" w:themeColor="text1"/>
                <w:sz w:val="32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科目使用更严谨规范，同时响应厉行节俭。</w:t>
            </w:r>
          </w:p>
        </w:tc>
      </w:tr>
      <w:tr w14:paraId="18B185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530E5E9C">
            <w:pPr>
              <w:spacing w:beforeLines="0" w:afterLines="0" w:line="375" w:lineRule="exact"/>
              <w:ind w:left="20"/>
              <w:rPr>
                <w:rFonts w:hint="eastAsia" w:ascii="Dialog" w:hAnsi="Dialog"/>
                <w:sz w:val="32"/>
                <w:szCs w:val="24"/>
              </w:rPr>
            </w:pPr>
            <w:r>
              <w:rPr>
                <w:rFonts w:hint="eastAsia" w:ascii="Dialog" w:hAnsi="Dialog"/>
                <w:sz w:val="32"/>
                <w:szCs w:val="24"/>
              </w:rPr>
              <w:t xml:space="preserve">  （五）政府采购情况</w:t>
            </w:r>
          </w:p>
        </w:tc>
      </w:tr>
      <w:tr w14:paraId="334DCA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8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7F08B430">
            <w:pPr>
              <w:spacing w:beforeLines="0" w:afterLines="0" w:line="375" w:lineRule="exact"/>
              <w:ind w:left="20"/>
              <w:rPr>
                <w:rFonts w:hint="eastAsia" w:ascii="宋体" w:hAnsi="宋体" w:eastAsia="宋体"/>
                <w:sz w:val="32"/>
                <w:szCs w:val="24"/>
              </w:rPr>
            </w:pPr>
            <w:r>
              <w:rPr>
                <w:rFonts w:hint="eastAsia" w:ascii="宋体" w:hAnsi="宋体" w:eastAsia="宋体"/>
                <w:sz w:val="32"/>
                <w:szCs w:val="24"/>
              </w:rPr>
              <w:t xml:space="preserve">  本单位2026年政府采购预算总额</w:t>
            </w:r>
            <w:r>
              <w:rPr>
                <w:rFonts w:hint="eastAsia" w:ascii="宋体" w:hAnsi="宋体"/>
                <w:color w:val="auto"/>
                <w:sz w:val="32"/>
                <w:szCs w:val="24"/>
                <w:lang w:val="en-US" w:eastAsia="zh-CN"/>
              </w:rPr>
              <w:t>73.23</w:t>
            </w:r>
            <w:r>
              <w:rPr>
                <w:rFonts w:hint="eastAsia" w:ascii="宋体" w:hAnsi="宋体" w:eastAsia="宋体"/>
                <w:sz w:val="32"/>
                <w:szCs w:val="24"/>
              </w:rPr>
              <w:t>万元，其中工程类</w:t>
            </w:r>
            <w:r>
              <w:rPr>
                <w:rFonts w:hint="eastAsia" w:ascii="宋体" w:hAnsi="宋体"/>
                <w:sz w:val="32"/>
                <w:szCs w:val="24"/>
                <w:lang w:val="en-US" w:eastAsia="zh-CN"/>
              </w:rPr>
              <w:t>0</w:t>
            </w:r>
            <w:r>
              <w:rPr>
                <w:rFonts w:hint="eastAsia" w:ascii="宋体" w:hAnsi="宋体" w:eastAsia="宋体"/>
                <w:sz w:val="32"/>
                <w:szCs w:val="24"/>
              </w:rPr>
              <w:t>万元，</w:t>
            </w:r>
            <w:r>
              <w:rPr>
                <w:rFonts w:hint="eastAsia" w:ascii="宋体" w:hAnsi="宋体" w:eastAsia="宋体"/>
                <w:color w:val="000000" w:themeColor="text1"/>
                <w:sz w:val="32"/>
                <w:szCs w:val="24"/>
                <w14:textFill>
                  <w14:solidFill>
                    <w14:schemeClr w14:val="tx1"/>
                  </w14:solidFill>
                </w14:textFill>
              </w:rPr>
              <w:t>货物类</w:t>
            </w:r>
            <w:r>
              <w:rPr>
                <w:rFonts w:hint="eastAsia" w:ascii="宋体" w:hAnsi="宋体"/>
                <w:color w:val="000000" w:themeColor="text1"/>
                <w:sz w:val="32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</w:t>
            </w:r>
            <w:bookmarkStart w:id="0" w:name="_GoBack"/>
            <w:r>
              <w:rPr>
                <w:rFonts w:hint="eastAsia" w:ascii="宋体" w:hAnsi="宋体"/>
                <w:color w:val="000000" w:themeColor="text1"/>
                <w:sz w:val="32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.</w:t>
            </w:r>
            <w:bookmarkEnd w:id="0"/>
            <w:r>
              <w:rPr>
                <w:rFonts w:hint="eastAsia" w:ascii="宋体" w:hAnsi="宋体"/>
                <w:color w:val="000000" w:themeColor="text1"/>
                <w:sz w:val="32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04</w:t>
            </w:r>
            <w:r>
              <w:rPr>
                <w:rFonts w:hint="eastAsia" w:ascii="宋体" w:hAnsi="宋体" w:eastAsia="宋体"/>
                <w:color w:val="000000" w:themeColor="text1"/>
                <w:sz w:val="32"/>
                <w:szCs w:val="24"/>
                <w14:textFill>
                  <w14:solidFill>
                    <w14:schemeClr w14:val="tx1"/>
                  </w14:solidFill>
                </w14:textFill>
              </w:rPr>
              <w:t>万元，</w:t>
            </w:r>
            <w:r>
              <w:rPr>
                <w:rFonts w:hint="eastAsia" w:ascii="宋体" w:hAnsi="宋体" w:eastAsia="宋体"/>
                <w:color w:val="auto"/>
                <w:sz w:val="32"/>
                <w:szCs w:val="24"/>
              </w:rPr>
              <w:t>服务类</w:t>
            </w:r>
            <w:r>
              <w:rPr>
                <w:rFonts w:hint="eastAsia" w:ascii="宋体" w:hAnsi="宋体" w:eastAsia="宋体"/>
                <w:color w:val="auto"/>
                <w:sz w:val="32"/>
                <w:szCs w:val="24"/>
                <w:lang w:val="en-US" w:eastAsia="zh-CN"/>
              </w:rPr>
              <w:t>66.19</w:t>
            </w:r>
            <w:r>
              <w:rPr>
                <w:rFonts w:hint="eastAsia" w:ascii="宋体" w:hAnsi="宋体" w:eastAsia="宋体"/>
                <w:color w:val="auto"/>
                <w:sz w:val="32"/>
                <w:szCs w:val="24"/>
              </w:rPr>
              <w:t>万元。</w:t>
            </w:r>
            <w:r>
              <w:rPr>
                <w:rFonts w:hint="eastAsia" w:ascii="宋体" w:hAnsi="宋体" w:eastAsia="宋体"/>
                <w:sz w:val="32"/>
                <w:szCs w:val="24"/>
              </w:rPr>
              <w:t>（没有政府采购预算的也需要在总额，工程类，货物类，服务类分别填0）</w:t>
            </w:r>
          </w:p>
        </w:tc>
      </w:tr>
      <w:tr w14:paraId="549344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48D41F33">
            <w:pPr>
              <w:spacing w:beforeLines="0" w:afterLines="0" w:line="375" w:lineRule="exact"/>
              <w:ind w:left="20"/>
              <w:rPr>
                <w:rFonts w:hint="eastAsia" w:ascii="Dialog" w:hAnsi="Dialog"/>
                <w:sz w:val="32"/>
                <w:szCs w:val="24"/>
              </w:rPr>
            </w:pPr>
            <w:r>
              <w:rPr>
                <w:rFonts w:hint="eastAsia" w:ascii="Dialog" w:hAnsi="Dialog"/>
                <w:sz w:val="32"/>
                <w:szCs w:val="24"/>
              </w:rPr>
              <w:t xml:space="preserve">  （六）国有资产占有使用及新增资产配置情况</w:t>
            </w:r>
          </w:p>
        </w:tc>
      </w:tr>
      <w:tr w14:paraId="761521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10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1C6C0C2E">
            <w:pPr>
              <w:spacing w:beforeLines="0" w:afterLines="0" w:line="375" w:lineRule="exact"/>
              <w:ind w:left="20"/>
              <w:rPr>
                <w:rFonts w:hint="eastAsia" w:ascii="宋体" w:hAnsi="宋体" w:eastAsia="宋体"/>
                <w:sz w:val="32"/>
                <w:szCs w:val="24"/>
              </w:rPr>
            </w:pPr>
            <w:r>
              <w:rPr>
                <w:rFonts w:hint="eastAsia" w:ascii="宋体" w:hAnsi="宋体" w:eastAsia="宋体"/>
                <w:sz w:val="32"/>
                <w:szCs w:val="24"/>
              </w:rPr>
              <w:t xml:space="preserve">  截至上年底，本单位共有车辆</w:t>
            </w:r>
            <w:r>
              <w:rPr>
                <w:rFonts w:hint="eastAsia" w:ascii="宋体" w:hAnsi="宋体"/>
                <w:sz w:val="32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/>
                <w:sz w:val="32"/>
                <w:szCs w:val="24"/>
              </w:rPr>
              <w:t>辆，其中领导干部用车</w:t>
            </w:r>
            <w:r>
              <w:rPr>
                <w:rFonts w:hint="eastAsia" w:ascii="宋体" w:hAnsi="宋体"/>
                <w:sz w:val="32"/>
                <w:szCs w:val="24"/>
                <w:lang w:val="en-US" w:eastAsia="zh-CN"/>
              </w:rPr>
              <w:t>0</w:t>
            </w:r>
            <w:r>
              <w:rPr>
                <w:rFonts w:hint="eastAsia" w:ascii="宋体" w:hAnsi="宋体" w:eastAsia="宋体"/>
                <w:sz w:val="32"/>
                <w:szCs w:val="24"/>
              </w:rPr>
              <w:t>辆，一般公务用车</w:t>
            </w:r>
            <w:r>
              <w:rPr>
                <w:rFonts w:hint="eastAsia" w:ascii="宋体" w:hAnsi="宋体"/>
                <w:sz w:val="32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/>
                <w:sz w:val="32"/>
                <w:szCs w:val="24"/>
              </w:rPr>
              <w:t>辆，其他用车</w:t>
            </w:r>
            <w:r>
              <w:rPr>
                <w:rFonts w:hint="eastAsia" w:ascii="宋体" w:hAnsi="宋体"/>
                <w:sz w:val="32"/>
                <w:szCs w:val="24"/>
                <w:lang w:val="en-US" w:eastAsia="zh-CN"/>
              </w:rPr>
              <w:t>0</w:t>
            </w:r>
            <w:r>
              <w:rPr>
                <w:rFonts w:hint="eastAsia" w:ascii="宋体" w:hAnsi="宋体" w:eastAsia="宋体"/>
                <w:sz w:val="32"/>
                <w:szCs w:val="24"/>
              </w:rPr>
              <w:t>辆。单位价值50万元以上通用设备</w:t>
            </w:r>
            <w:r>
              <w:rPr>
                <w:rFonts w:hint="eastAsia" w:ascii="宋体" w:hAnsi="宋体"/>
                <w:sz w:val="32"/>
                <w:szCs w:val="24"/>
                <w:lang w:val="en-US" w:eastAsia="zh-CN"/>
              </w:rPr>
              <w:t>0</w:t>
            </w:r>
            <w:r>
              <w:rPr>
                <w:rFonts w:hint="eastAsia" w:ascii="宋体" w:hAnsi="宋体" w:eastAsia="宋体"/>
                <w:sz w:val="32"/>
                <w:szCs w:val="24"/>
              </w:rPr>
              <w:t>台，单位价值100万元以上专用设备</w:t>
            </w:r>
            <w:r>
              <w:rPr>
                <w:rFonts w:hint="eastAsia" w:ascii="宋体" w:hAnsi="宋体"/>
                <w:sz w:val="32"/>
                <w:szCs w:val="24"/>
                <w:lang w:val="en-US" w:eastAsia="zh-CN"/>
              </w:rPr>
              <w:t>0</w:t>
            </w:r>
            <w:r>
              <w:rPr>
                <w:rFonts w:hint="eastAsia" w:ascii="宋体" w:hAnsi="宋体" w:eastAsia="宋体"/>
                <w:sz w:val="32"/>
                <w:szCs w:val="24"/>
              </w:rPr>
              <w:t xml:space="preserve">台。 </w:t>
            </w:r>
          </w:p>
          <w:p w14:paraId="4C46F2A6">
            <w:pPr>
              <w:spacing w:beforeLines="0" w:afterLines="0" w:line="375" w:lineRule="exact"/>
              <w:ind w:left="20"/>
              <w:rPr>
                <w:rFonts w:hint="eastAsia" w:ascii="宋体" w:hAnsi="宋体" w:eastAsia="宋体"/>
                <w:sz w:val="32"/>
                <w:szCs w:val="24"/>
              </w:rPr>
            </w:pPr>
            <w:r>
              <w:rPr>
                <w:rFonts w:hint="eastAsia" w:ascii="宋体" w:hAnsi="宋体" w:eastAsia="宋体"/>
                <w:sz w:val="32"/>
                <w:szCs w:val="24"/>
              </w:rPr>
              <w:t xml:space="preserve">  2026年拟报废处置车辆</w:t>
            </w:r>
            <w:r>
              <w:rPr>
                <w:rFonts w:hint="eastAsia" w:ascii="宋体" w:hAnsi="宋体"/>
                <w:sz w:val="32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/>
                <w:sz w:val="32"/>
                <w:szCs w:val="24"/>
              </w:rPr>
              <w:t>辆，其中：报废处置领导干部用车</w:t>
            </w:r>
            <w:r>
              <w:rPr>
                <w:rFonts w:hint="eastAsia" w:ascii="宋体" w:hAnsi="宋体"/>
                <w:sz w:val="32"/>
                <w:szCs w:val="24"/>
                <w:lang w:val="en-US" w:eastAsia="zh-CN"/>
              </w:rPr>
              <w:t>0</w:t>
            </w:r>
            <w:r>
              <w:rPr>
                <w:rFonts w:hint="eastAsia" w:ascii="宋体" w:hAnsi="宋体" w:eastAsia="宋体"/>
                <w:sz w:val="32"/>
                <w:szCs w:val="24"/>
              </w:rPr>
              <w:t>辆，报废处置一般公务用车</w:t>
            </w:r>
            <w:r>
              <w:rPr>
                <w:rFonts w:hint="eastAsia" w:ascii="宋体" w:hAnsi="宋体"/>
                <w:sz w:val="32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/>
                <w:sz w:val="32"/>
                <w:szCs w:val="24"/>
              </w:rPr>
              <w:t>辆，报废处置其他用车</w:t>
            </w:r>
            <w:r>
              <w:rPr>
                <w:rFonts w:hint="eastAsia" w:ascii="宋体" w:hAnsi="宋体"/>
                <w:sz w:val="32"/>
                <w:szCs w:val="24"/>
                <w:lang w:val="en-US" w:eastAsia="zh-CN"/>
              </w:rPr>
              <w:t>0</w:t>
            </w:r>
            <w:r>
              <w:rPr>
                <w:rFonts w:hint="eastAsia" w:ascii="宋体" w:hAnsi="宋体" w:eastAsia="宋体"/>
                <w:sz w:val="32"/>
                <w:szCs w:val="24"/>
              </w:rPr>
              <w:t>辆，报废处置单位价值50万元以上通用设备</w:t>
            </w:r>
            <w:r>
              <w:rPr>
                <w:rFonts w:hint="eastAsia" w:ascii="宋体" w:hAnsi="宋体"/>
                <w:sz w:val="32"/>
                <w:szCs w:val="24"/>
                <w:lang w:val="en-US" w:eastAsia="zh-CN"/>
              </w:rPr>
              <w:t>0</w:t>
            </w:r>
            <w:r>
              <w:rPr>
                <w:rFonts w:hint="eastAsia" w:ascii="宋体" w:hAnsi="宋体" w:eastAsia="宋体"/>
                <w:sz w:val="32"/>
                <w:szCs w:val="24"/>
              </w:rPr>
              <w:t>台，报废处置单位价值100万元以上通用设备</w:t>
            </w:r>
            <w:r>
              <w:rPr>
                <w:rFonts w:hint="eastAsia" w:ascii="宋体" w:hAnsi="宋体"/>
                <w:sz w:val="32"/>
                <w:szCs w:val="24"/>
                <w:lang w:val="en-US" w:eastAsia="zh-CN"/>
              </w:rPr>
              <w:t>0</w:t>
            </w:r>
            <w:r>
              <w:rPr>
                <w:rFonts w:hint="eastAsia" w:ascii="宋体" w:hAnsi="宋体" w:eastAsia="宋体"/>
                <w:sz w:val="32"/>
                <w:szCs w:val="24"/>
              </w:rPr>
              <w:t>台。拟新增配置车辆</w:t>
            </w:r>
            <w:r>
              <w:rPr>
                <w:rFonts w:hint="eastAsia" w:ascii="宋体" w:hAnsi="宋体"/>
                <w:sz w:val="32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/>
                <w:sz w:val="32"/>
                <w:szCs w:val="24"/>
              </w:rPr>
              <w:t>辆，其中领导干部用车</w:t>
            </w:r>
            <w:r>
              <w:rPr>
                <w:rFonts w:hint="eastAsia" w:ascii="宋体" w:hAnsi="宋体"/>
                <w:sz w:val="32"/>
                <w:szCs w:val="24"/>
                <w:lang w:val="en-US" w:eastAsia="zh-CN"/>
              </w:rPr>
              <w:t>0</w:t>
            </w:r>
            <w:r>
              <w:rPr>
                <w:rFonts w:hint="eastAsia" w:ascii="宋体" w:hAnsi="宋体" w:eastAsia="宋体"/>
                <w:sz w:val="32"/>
                <w:szCs w:val="24"/>
              </w:rPr>
              <w:t>辆，一般公务用车</w:t>
            </w:r>
            <w:r>
              <w:rPr>
                <w:rFonts w:hint="eastAsia" w:ascii="宋体" w:hAnsi="宋体"/>
                <w:sz w:val="32"/>
                <w:szCs w:val="24"/>
                <w:lang w:val="en-US" w:eastAsia="zh-CN"/>
              </w:rPr>
              <w:t>0</w:t>
            </w:r>
            <w:r>
              <w:rPr>
                <w:rFonts w:hint="eastAsia" w:ascii="宋体" w:hAnsi="宋体" w:eastAsia="宋体"/>
                <w:sz w:val="32"/>
                <w:szCs w:val="24"/>
              </w:rPr>
              <w:t>辆，其他用车</w:t>
            </w:r>
            <w:r>
              <w:rPr>
                <w:rFonts w:hint="eastAsia" w:ascii="宋体" w:hAnsi="宋体"/>
                <w:sz w:val="32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/>
                <w:sz w:val="32"/>
                <w:szCs w:val="24"/>
              </w:rPr>
              <w:t>辆，主要用于</w:t>
            </w:r>
            <w:r>
              <w:rPr>
                <w:rFonts w:hint="eastAsia" w:ascii="宋体" w:hAnsi="宋体"/>
                <w:sz w:val="32"/>
                <w:szCs w:val="24"/>
                <w:lang w:eastAsia="zh-CN"/>
              </w:rPr>
              <w:t>救助业务专用车辆</w:t>
            </w:r>
            <w:r>
              <w:rPr>
                <w:rFonts w:hint="eastAsia" w:ascii="宋体" w:hAnsi="宋体" w:eastAsia="宋体"/>
                <w:sz w:val="32"/>
                <w:szCs w:val="24"/>
              </w:rPr>
              <w:t>，资金来源为</w:t>
            </w:r>
            <w:r>
              <w:rPr>
                <w:rFonts w:hint="eastAsia" w:ascii="宋体" w:hAnsi="宋体"/>
                <w:sz w:val="32"/>
                <w:szCs w:val="24"/>
                <w:lang w:eastAsia="zh-CN"/>
              </w:rPr>
              <w:t>自筹资金</w:t>
            </w:r>
            <w:r>
              <w:rPr>
                <w:rFonts w:hint="eastAsia" w:ascii="宋体" w:hAnsi="宋体" w:eastAsia="宋体"/>
                <w:sz w:val="32"/>
                <w:szCs w:val="24"/>
              </w:rPr>
              <w:t>。</w:t>
            </w:r>
          </w:p>
          <w:p w14:paraId="1A19A348">
            <w:pPr>
              <w:spacing w:beforeLines="0" w:afterLines="0" w:line="375" w:lineRule="exact"/>
              <w:ind w:left="20"/>
              <w:rPr>
                <w:rFonts w:hint="eastAsia" w:ascii="宋体" w:hAnsi="宋体" w:eastAsia="宋体"/>
                <w:sz w:val="32"/>
                <w:szCs w:val="24"/>
              </w:rPr>
            </w:pPr>
            <w:r>
              <w:rPr>
                <w:rFonts w:hint="eastAsia" w:ascii="宋体" w:hAnsi="宋体" w:eastAsia="宋体"/>
                <w:sz w:val="32"/>
                <w:szCs w:val="24"/>
              </w:rPr>
              <w:t xml:space="preserve">  2026年拟新增配备领导干部用车</w:t>
            </w:r>
            <w:r>
              <w:rPr>
                <w:rFonts w:hint="eastAsia" w:ascii="宋体" w:hAnsi="宋体"/>
                <w:sz w:val="32"/>
                <w:szCs w:val="24"/>
                <w:lang w:val="en-US" w:eastAsia="zh-CN"/>
              </w:rPr>
              <w:t>0</w:t>
            </w:r>
            <w:r>
              <w:rPr>
                <w:rFonts w:hint="eastAsia" w:ascii="宋体" w:hAnsi="宋体" w:eastAsia="宋体"/>
                <w:sz w:val="32"/>
                <w:szCs w:val="24"/>
              </w:rPr>
              <w:t>辆，一般公务用车</w:t>
            </w:r>
            <w:r>
              <w:rPr>
                <w:rFonts w:hint="eastAsia" w:ascii="宋体" w:hAnsi="宋体"/>
                <w:sz w:val="32"/>
                <w:szCs w:val="24"/>
                <w:lang w:val="en-US" w:eastAsia="zh-CN"/>
              </w:rPr>
              <w:t>0</w:t>
            </w:r>
            <w:r>
              <w:rPr>
                <w:rFonts w:hint="eastAsia" w:ascii="宋体" w:hAnsi="宋体" w:eastAsia="宋体"/>
                <w:sz w:val="32"/>
                <w:szCs w:val="24"/>
              </w:rPr>
              <w:t>辆，其他用车</w:t>
            </w:r>
            <w:r>
              <w:rPr>
                <w:rFonts w:hint="eastAsia" w:ascii="宋体" w:hAnsi="宋体"/>
                <w:sz w:val="32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/>
                <w:sz w:val="32"/>
                <w:szCs w:val="24"/>
              </w:rPr>
              <w:t>辆，新增配备单位价值50万元以上通用设备</w:t>
            </w:r>
            <w:r>
              <w:rPr>
                <w:rFonts w:hint="eastAsia" w:ascii="宋体" w:hAnsi="宋体"/>
                <w:sz w:val="32"/>
                <w:szCs w:val="24"/>
                <w:lang w:val="en-US" w:eastAsia="zh-CN"/>
              </w:rPr>
              <w:t>0</w:t>
            </w:r>
            <w:r>
              <w:rPr>
                <w:rFonts w:hint="eastAsia" w:ascii="宋体" w:hAnsi="宋体" w:eastAsia="宋体"/>
                <w:sz w:val="32"/>
                <w:szCs w:val="24"/>
              </w:rPr>
              <w:t>台，单位价值100万元以上专用设备</w:t>
            </w:r>
            <w:r>
              <w:rPr>
                <w:rFonts w:hint="eastAsia" w:ascii="宋体" w:hAnsi="宋体"/>
                <w:sz w:val="32"/>
                <w:szCs w:val="24"/>
                <w:lang w:val="en-US" w:eastAsia="zh-CN"/>
              </w:rPr>
              <w:t>0</w:t>
            </w:r>
            <w:r>
              <w:rPr>
                <w:rFonts w:hint="eastAsia" w:ascii="宋体" w:hAnsi="宋体" w:eastAsia="宋体"/>
                <w:sz w:val="32"/>
                <w:szCs w:val="24"/>
              </w:rPr>
              <w:t>台。（没有处置或新增计划的也需说明“2026年度本单位未计划处置或新增车辆、设备等。”）</w:t>
            </w:r>
          </w:p>
        </w:tc>
      </w:tr>
      <w:tr w14:paraId="0EABB9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6101DB5A">
            <w:pPr>
              <w:spacing w:beforeLines="0" w:afterLines="0" w:line="375" w:lineRule="exact"/>
              <w:ind w:left="20"/>
              <w:rPr>
                <w:rFonts w:hint="eastAsia" w:ascii="Dialog" w:hAnsi="Dialog"/>
                <w:sz w:val="32"/>
                <w:szCs w:val="24"/>
              </w:rPr>
            </w:pPr>
            <w:r>
              <w:rPr>
                <w:rFonts w:hint="eastAsia" w:ascii="Dialog" w:hAnsi="Dialog"/>
                <w:sz w:val="32"/>
                <w:szCs w:val="24"/>
              </w:rPr>
              <w:t xml:space="preserve">  （七）预算绩效目标说明</w:t>
            </w:r>
          </w:p>
        </w:tc>
      </w:tr>
      <w:tr w14:paraId="41ACC6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1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301C13BE">
            <w:pPr>
              <w:spacing w:beforeLines="0" w:afterLines="0" w:line="375" w:lineRule="exact"/>
              <w:ind w:left="20"/>
              <w:rPr>
                <w:rFonts w:hint="eastAsia" w:ascii="宋体" w:hAnsi="宋体" w:eastAsia="宋体"/>
                <w:sz w:val="32"/>
                <w:szCs w:val="24"/>
              </w:rPr>
            </w:pPr>
            <w:r>
              <w:rPr>
                <w:rFonts w:hint="eastAsia" w:ascii="宋体" w:hAnsi="宋体" w:eastAsia="宋体"/>
                <w:sz w:val="32"/>
                <w:szCs w:val="24"/>
              </w:rPr>
              <w:t xml:space="preserve">    本单位所有支出实行绩效目标管理。纳入2026年单位整体支出绩效目标的金额为541.45万元，其中，基本支出531.85万元，项目支出9.60万元，详见文尾附表中单位预算公开表格的表21-22。</w:t>
            </w:r>
          </w:p>
        </w:tc>
      </w:tr>
      <w:tr w14:paraId="7C7FD7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51EFEDCB">
            <w:pPr>
              <w:spacing w:beforeLines="0" w:afterLines="0" w:line="375" w:lineRule="exact"/>
              <w:ind w:left="20"/>
              <w:rPr>
                <w:rFonts w:hint="eastAsia" w:ascii="Dialog" w:hAnsi="Dialog"/>
                <w:sz w:val="32"/>
                <w:szCs w:val="24"/>
              </w:rPr>
            </w:pPr>
            <w:r>
              <w:rPr>
                <w:rFonts w:hint="eastAsia" w:ascii="Dialog" w:hAnsi="Dialog"/>
                <w:sz w:val="32"/>
                <w:szCs w:val="24"/>
              </w:rPr>
              <w:t xml:space="preserve">  七、名词解释</w:t>
            </w:r>
          </w:p>
        </w:tc>
      </w:tr>
      <w:tr w14:paraId="769A50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05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7ECE72E3">
            <w:pPr>
              <w:spacing w:beforeLines="0" w:afterLines="0" w:line="375" w:lineRule="exact"/>
              <w:ind w:left="20"/>
              <w:rPr>
                <w:rFonts w:hint="eastAsia" w:ascii="宋体" w:hAnsi="宋体" w:eastAsia="宋体"/>
                <w:sz w:val="32"/>
                <w:szCs w:val="24"/>
              </w:rPr>
            </w:pPr>
            <w:r>
              <w:rPr>
                <w:rFonts w:hint="eastAsia" w:ascii="宋体" w:hAnsi="宋体" w:eastAsia="宋体"/>
                <w:sz w:val="32"/>
                <w:szCs w:val="24"/>
              </w:rPr>
              <w:t xml:space="preserve">  1、机关运行经费：是指各单位的公用经费，包括办公及印刷费、邮电费、差旅费、会议费、福利费、日常维修费、专用资料及一般设备购置费、办公用房水电费、办公用房取暖费、办公用房物业管理费、公务用车运行维护费以及其他费用。</w:t>
            </w:r>
          </w:p>
        </w:tc>
      </w:tr>
      <w:tr w14:paraId="61DDE7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05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78D723FE">
            <w:pPr>
              <w:spacing w:beforeLines="0" w:afterLines="0" w:line="375" w:lineRule="exact"/>
              <w:ind w:left="20"/>
              <w:rPr>
                <w:rFonts w:hint="eastAsia" w:ascii="宋体" w:hAnsi="宋体" w:eastAsia="宋体"/>
                <w:sz w:val="32"/>
                <w:szCs w:val="24"/>
              </w:rPr>
            </w:pPr>
            <w:r>
              <w:rPr>
                <w:rFonts w:hint="eastAsia" w:ascii="宋体" w:hAnsi="宋体" w:eastAsia="宋体"/>
                <w:sz w:val="32"/>
                <w:szCs w:val="24"/>
              </w:rPr>
              <w:t xml:space="preserve">  2、“三公”经费：纳入财政预算管理的“三公“经费，是指用一般公共预算拨款安排的公务接待费、公务用车购置及运行维护费和因公出国（境）费。其中，公务接待费反映单位按规定开支的各类公务接待支出；公务用车购置及运行费反映单位公务用车车辆购置支出（含车辆购置税），以及燃料费、维修费、保险费等支出；因公出国（境）费反映单位公务出国（境）的国际旅费、国外城市间交通费、食宿费等支出。</w:t>
            </w:r>
          </w:p>
        </w:tc>
      </w:tr>
      <w:tr w14:paraId="795DCC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2" w:hRule="atLeast"/>
        </w:trPr>
        <w:tc>
          <w:tcPr>
            <w:tcW w:w="15306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514BD450">
            <w:pPr>
              <w:spacing w:beforeLines="0" w:afterLines="0"/>
              <w:rPr>
                <w:rFonts w:hint="default"/>
                <w:sz w:val="24"/>
                <w:szCs w:val="24"/>
              </w:rPr>
            </w:pPr>
          </w:p>
        </w:tc>
      </w:tr>
      <w:tr w14:paraId="6B32F1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2" w:hRule="atLeast"/>
        </w:trPr>
        <w:tc>
          <w:tcPr>
            <w:tcW w:w="15306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4F1F747C">
            <w:pPr>
              <w:spacing w:beforeLines="0" w:afterLines="0"/>
              <w:rPr>
                <w:rFonts w:hint="default"/>
                <w:sz w:val="24"/>
                <w:szCs w:val="24"/>
              </w:rPr>
            </w:pPr>
          </w:p>
        </w:tc>
      </w:tr>
      <w:tr w14:paraId="05DB1C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2" w:hRule="atLeast"/>
        </w:trPr>
        <w:tc>
          <w:tcPr>
            <w:tcW w:w="15306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25E49E3C">
            <w:pPr>
              <w:spacing w:beforeLines="0" w:afterLines="0"/>
              <w:rPr>
                <w:rFonts w:hint="default"/>
                <w:sz w:val="24"/>
                <w:szCs w:val="24"/>
              </w:rPr>
            </w:pPr>
          </w:p>
        </w:tc>
      </w:tr>
      <w:tr w14:paraId="2EF246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15C52E50">
            <w:pPr>
              <w:spacing w:beforeLines="0" w:afterLines="0" w:line="375" w:lineRule="exact"/>
              <w:ind w:left="20"/>
              <w:jc w:val="center"/>
              <w:rPr>
                <w:rFonts w:hint="eastAsia" w:ascii="Dialog" w:hAnsi="Dialog"/>
                <w:sz w:val="32"/>
                <w:szCs w:val="24"/>
              </w:rPr>
            </w:pPr>
            <w:r>
              <w:rPr>
                <w:rFonts w:hint="eastAsia" w:ascii="Dialog" w:hAnsi="Dialog"/>
                <w:sz w:val="32"/>
                <w:szCs w:val="24"/>
              </w:rPr>
              <w:t>第二部分  2026年单位预算公开表格</w:t>
            </w:r>
          </w:p>
        </w:tc>
      </w:tr>
      <w:tr w14:paraId="7792B1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4C6ACE85">
            <w:pPr>
              <w:spacing w:beforeLines="0" w:afterLines="0" w:line="375" w:lineRule="exact"/>
              <w:ind w:left="20"/>
              <w:rPr>
                <w:rFonts w:hint="eastAsia" w:ascii="宋体" w:hAnsi="宋体" w:eastAsia="宋体"/>
                <w:sz w:val="32"/>
                <w:szCs w:val="24"/>
              </w:rPr>
            </w:pPr>
            <w:r>
              <w:rPr>
                <w:rFonts w:hint="eastAsia" w:ascii="宋体" w:hAnsi="宋体" w:eastAsia="宋体"/>
                <w:sz w:val="32"/>
                <w:szCs w:val="24"/>
              </w:rPr>
              <w:t>1、收支总表</w:t>
            </w:r>
          </w:p>
        </w:tc>
      </w:tr>
      <w:tr w14:paraId="55B02C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066A96C0">
            <w:pPr>
              <w:spacing w:beforeLines="0" w:afterLines="0" w:line="375" w:lineRule="exact"/>
              <w:ind w:left="20"/>
              <w:rPr>
                <w:rFonts w:hint="eastAsia" w:ascii="宋体" w:hAnsi="宋体" w:eastAsia="宋体"/>
                <w:sz w:val="32"/>
                <w:szCs w:val="24"/>
              </w:rPr>
            </w:pPr>
            <w:r>
              <w:rPr>
                <w:rFonts w:hint="eastAsia" w:ascii="宋体" w:hAnsi="宋体" w:eastAsia="宋体"/>
                <w:sz w:val="32"/>
                <w:szCs w:val="24"/>
              </w:rPr>
              <w:t>2、收入总表</w:t>
            </w:r>
          </w:p>
        </w:tc>
      </w:tr>
      <w:tr w14:paraId="768CB2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15FC4C3A">
            <w:pPr>
              <w:spacing w:beforeLines="0" w:afterLines="0" w:line="375" w:lineRule="exact"/>
              <w:ind w:left="20"/>
              <w:rPr>
                <w:rFonts w:hint="eastAsia" w:ascii="宋体" w:hAnsi="宋体" w:eastAsia="宋体"/>
                <w:sz w:val="32"/>
                <w:szCs w:val="24"/>
              </w:rPr>
            </w:pPr>
            <w:r>
              <w:rPr>
                <w:rFonts w:hint="eastAsia" w:ascii="宋体" w:hAnsi="宋体" w:eastAsia="宋体"/>
                <w:sz w:val="32"/>
                <w:szCs w:val="24"/>
              </w:rPr>
              <w:t>3、支出总表</w:t>
            </w:r>
          </w:p>
        </w:tc>
      </w:tr>
      <w:tr w14:paraId="1E4517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73517127">
            <w:pPr>
              <w:spacing w:beforeLines="0" w:afterLines="0" w:line="375" w:lineRule="exact"/>
              <w:ind w:left="20"/>
              <w:rPr>
                <w:rFonts w:hint="eastAsia" w:ascii="宋体" w:hAnsi="宋体" w:eastAsia="宋体"/>
                <w:sz w:val="32"/>
                <w:szCs w:val="24"/>
              </w:rPr>
            </w:pPr>
            <w:r>
              <w:rPr>
                <w:rFonts w:hint="eastAsia" w:ascii="宋体" w:hAnsi="宋体" w:eastAsia="宋体"/>
                <w:sz w:val="32"/>
                <w:szCs w:val="24"/>
              </w:rPr>
              <w:t>4、支出预算分类汇总表（按政府预算经济分类）</w:t>
            </w:r>
          </w:p>
        </w:tc>
      </w:tr>
      <w:tr w14:paraId="05BAF9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61968A98">
            <w:pPr>
              <w:spacing w:beforeLines="0" w:afterLines="0" w:line="375" w:lineRule="exact"/>
              <w:ind w:left="20"/>
              <w:rPr>
                <w:rFonts w:hint="eastAsia" w:ascii="宋体" w:hAnsi="宋体" w:eastAsia="宋体"/>
                <w:sz w:val="32"/>
                <w:szCs w:val="24"/>
              </w:rPr>
            </w:pPr>
            <w:r>
              <w:rPr>
                <w:rFonts w:hint="eastAsia" w:ascii="宋体" w:hAnsi="宋体" w:eastAsia="宋体"/>
                <w:sz w:val="32"/>
                <w:szCs w:val="24"/>
              </w:rPr>
              <w:t>5、支出预算分类汇总表（按部门预算经济分类）</w:t>
            </w:r>
          </w:p>
        </w:tc>
      </w:tr>
      <w:tr w14:paraId="20CE65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3A6A6602">
            <w:pPr>
              <w:spacing w:beforeLines="0" w:afterLines="0" w:line="375" w:lineRule="exact"/>
              <w:ind w:left="20"/>
              <w:rPr>
                <w:rFonts w:hint="eastAsia" w:ascii="宋体" w:hAnsi="宋体" w:eastAsia="宋体"/>
                <w:sz w:val="32"/>
                <w:szCs w:val="24"/>
              </w:rPr>
            </w:pPr>
            <w:r>
              <w:rPr>
                <w:rFonts w:hint="eastAsia" w:ascii="宋体" w:hAnsi="宋体" w:eastAsia="宋体"/>
                <w:sz w:val="32"/>
                <w:szCs w:val="24"/>
              </w:rPr>
              <w:t>6、财政拨款收支总表</w:t>
            </w:r>
          </w:p>
        </w:tc>
      </w:tr>
      <w:tr w14:paraId="7A944D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06912460">
            <w:pPr>
              <w:spacing w:beforeLines="0" w:afterLines="0" w:line="375" w:lineRule="exact"/>
              <w:ind w:left="20"/>
              <w:rPr>
                <w:rFonts w:hint="eastAsia" w:ascii="宋体" w:hAnsi="宋体" w:eastAsia="宋体"/>
                <w:sz w:val="32"/>
                <w:szCs w:val="24"/>
              </w:rPr>
            </w:pPr>
            <w:r>
              <w:rPr>
                <w:rFonts w:hint="eastAsia" w:ascii="宋体" w:hAnsi="宋体" w:eastAsia="宋体"/>
                <w:sz w:val="32"/>
                <w:szCs w:val="24"/>
              </w:rPr>
              <w:t>7、一般公共预算支出表</w:t>
            </w:r>
          </w:p>
        </w:tc>
      </w:tr>
      <w:tr w14:paraId="721686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523712F1">
            <w:pPr>
              <w:spacing w:beforeLines="0" w:afterLines="0" w:line="375" w:lineRule="exact"/>
              <w:ind w:left="20"/>
              <w:rPr>
                <w:rFonts w:hint="eastAsia" w:ascii="宋体" w:hAnsi="宋体" w:eastAsia="宋体"/>
                <w:sz w:val="32"/>
                <w:szCs w:val="24"/>
              </w:rPr>
            </w:pPr>
            <w:r>
              <w:rPr>
                <w:rFonts w:hint="eastAsia" w:ascii="宋体" w:hAnsi="宋体" w:eastAsia="宋体"/>
                <w:sz w:val="32"/>
                <w:szCs w:val="24"/>
              </w:rPr>
              <w:t>8、一般公共预算基本支出表-人员经费（工资福利支出）（按政府预算经济分类）</w:t>
            </w:r>
          </w:p>
        </w:tc>
      </w:tr>
      <w:tr w14:paraId="57155B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487CA13B">
            <w:pPr>
              <w:spacing w:beforeLines="0" w:afterLines="0" w:line="375" w:lineRule="exact"/>
              <w:ind w:left="20"/>
              <w:rPr>
                <w:rFonts w:hint="eastAsia" w:ascii="宋体" w:hAnsi="宋体" w:eastAsia="宋体"/>
                <w:sz w:val="32"/>
                <w:szCs w:val="24"/>
              </w:rPr>
            </w:pPr>
            <w:r>
              <w:rPr>
                <w:rFonts w:hint="eastAsia" w:ascii="宋体" w:hAnsi="宋体" w:eastAsia="宋体"/>
                <w:sz w:val="32"/>
                <w:szCs w:val="24"/>
              </w:rPr>
              <w:t>9、一般公共预算基本支出表-人员经费（工资福利支出）（按部门预算经济分类）</w:t>
            </w:r>
          </w:p>
        </w:tc>
      </w:tr>
      <w:tr w14:paraId="0C5ABB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144E1372">
            <w:pPr>
              <w:spacing w:beforeLines="0" w:afterLines="0" w:line="375" w:lineRule="exact"/>
              <w:ind w:left="20"/>
              <w:rPr>
                <w:rFonts w:hint="eastAsia" w:ascii="宋体" w:hAnsi="宋体" w:eastAsia="宋体"/>
                <w:sz w:val="32"/>
                <w:szCs w:val="24"/>
              </w:rPr>
            </w:pPr>
            <w:r>
              <w:rPr>
                <w:rFonts w:hint="eastAsia" w:ascii="宋体" w:hAnsi="宋体" w:eastAsia="宋体"/>
                <w:sz w:val="32"/>
                <w:szCs w:val="24"/>
              </w:rPr>
              <w:t>10、一般公共预算基本支出表-人员经费（对个人和家庭的补助）（按政府预算经济分类）</w:t>
            </w:r>
          </w:p>
        </w:tc>
      </w:tr>
      <w:tr w14:paraId="781B7E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20B0C8FE">
            <w:pPr>
              <w:spacing w:beforeLines="0" w:afterLines="0" w:line="375" w:lineRule="exact"/>
              <w:ind w:left="20"/>
              <w:rPr>
                <w:rFonts w:hint="eastAsia" w:ascii="宋体" w:hAnsi="宋体" w:eastAsia="宋体"/>
                <w:sz w:val="32"/>
                <w:szCs w:val="24"/>
              </w:rPr>
            </w:pPr>
            <w:r>
              <w:rPr>
                <w:rFonts w:hint="eastAsia" w:ascii="宋体" w:hAnsi="宋体" w:eastAsia="宋体"/>
                <w:sz w:val="32"/>
                <w:szCs w:val="24"/>
              </w:rPr>
              <w:t>11、一般公共预算基本支出表-人员经费（对个人和家庭的补助）（按部门预算经济分类）</w:t>
            </w:r>
          </w:p>
        </w:tc>
      </w:tr>
      <w:tr w14:paraId="43E830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06F92C8E">
            <w:pPr>
              <w:spacing w:beforeLines="0" w:afterLines="0" w:line="375" w:lineRule="exact"/>
              <w:ind w:left="20"/>
              <w:rPr>
                <w:rFonts w:hint="eastAsia" w:ascii="宋体" w:hAnsi="宋体" w:eastAsia="宋体"/>
                <w:sz w:val="32"/>
                <w:szCs w:val="24"/>
              </w:rPr>
            </w:pPr>
            <w:r>
              <w:rPr>
                <w:rFonts w:hint="eastAsia" w:ascii="宋体" w:hAnsi="宋体" w:eastAsia="宋体"/>
                <w:sz w:val="32"/>
                <w:szCs w:val="24"/>
              </w:rPr>
              <w:t>12、一般公共预算基本支出表-公用经费（商品和服务支出）（按政府预算经济分类）</w:t>
            </w:r>
          </w:p>
        </w:tc>
      </w:tr>
      <w:tr w14:paraId="2A0C33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5739FCA9">
            <w:pPr>
              <w:spacing w:beforeLines="0" w:afterLines="0" w:line="375" w:lineRule="exact"/>
              <w:ind w:left="20"/>
              <w:rPr>
                <w:rFonts w:hint="eastAsia" w:ascii="宋体" w:hAnsi="宋体" w:eastAsia="宋体"/>
                <w:sz w:val="32"/>
                <w:szCs w:val="24"/>
              </w:rPr>
            </w:pPr>
            <w:r>
              <w:rPr>
                <w:rFonts w:hint="eastAsia" w:ascii="宋体" w:hAnsi="宋体" w:eastAsia="宋体"/>
                <w:sz w:val="32"/>
                <w:szCs w:val="24"/>
              </w:rPr>
              <w:t>13、一般公共预算基本支出表-公用经费（商品和服务支出）（按部门预算经济分类）</w:t>
            </w:r>
          </w:p>
        </w:tc>
      </w:tr>
      <w:tr w14:paraId="5F2063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4F2E4EDD">
            <w:pPr>
              <w:spacing w:beforeLines="0" w:afterLines="0" w:line="375" w:lineRule="exact"/>
              <w:ind w:left="20"/>
              <w:rPr>
                <w:rFonts w:hint="eastAsia" w:ascii="宋体" w:hAnsi="宋体" w:eastAsia="宋体"/>
                <w:sz w:val="32"/>
                <w:szCs w:val="24"/>
              </w:rPr>
            </w:pPr>
            <w:r>
              <w:rPr>
                <w:rFonts w:hint="eastAsia" w:ascii="宋体" w:hAnsi="宋体" w:eastAsia="宋体"/>
                <w:sz w:val="32"/>
                <w:szCs w:val="24"/>
              </w:rPr>
              <w:t>14、一般公共预算“三公”经费支出表</w:t>
            </w:r>
          </w:p>
        </w:tc>
      </w:tr>
      <w:tr w14:paraId="04C40E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2B9E11AB">
            <w:pPr>
              <w:spacing w:beforeLines="0" w:afterLines="0" w:line="375" w:lineRule="exact"/>
              <w:ind w:left="20"/>
              <w:rPr>
                <w:rFonts w:hint="eastAsia" w:ascii="宋体" w:hAnsi="宋体" w:eastAsia="宋体"/>
                <w:sz w:val="32"/>
                <w:szCs w:val="24"/>
              </w:rPr>
            </w:pPr>
            <w:r>
              <w:rPr>
                <w:rFonts w:hint="eastAsia" w:ascii="宋体" w:hAnsi="宋体" w:eastAsia="宋体"/>
                <w:sz w:val="32"/>
                <w:szCs w:val="24"/>
              </w:rPr>
              <w:t>15、政府性基金预算支出表</w:t>
            </w:r>
          </w:p>
        </w:tc>
      </w:tr>
      <w:tr w14:paraId="6C5E2F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67485957">
            <w:pPr>
              <w:spacing w:beforeLines="0" w:afterLines="0" w:line="375" w:lineRule="exact"/>
              <w:ind w:left="20"/>
              <w:rPr>
                <w:rFonts w:hint="eastAsia" w:ascii="宋体" w:hAnsi="宋体" w:eastAsia="宋体"/>
                <w:sz w:val="32"/>
                <w:szCs w:val="24"/>
              </w:rPr>
            </w:pPr>
            <w:r>
              <w:rPr>
                <w:rFonts w:hint="eastAsia" w:ascii="宋体" w:hAnsi="宋体" w:eastAsia="宋体"/>
                <w:sz w:val="32"/>
                <w:szCs w:val="24"/>
              </w:rPr>
              <w:t>16、政府性基金预算支出分类汇总表（按政府预算经济分类）</w:t>
            </w:r>
          </w:p>
        </w:tc>
      </w:tr>
      <w:tr w14:paraId="0DDA51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5FE1C752">
            <w:pPr>
              <w:spacing w:beforeLines="0" w:afterLines="0" w:line="375" w:lineRule="exact"/>
              <w:ind w:left="20"/>
              <w:rPr>
                <w:rFonts w:hint="eastAsia" w:ascii="宋体" w:hAnsi="宋体" w:eastAsia="宋体"/>
                <w:sz w:val="32"/>
                <w:szCs w:val="24"/>
              </w:rPr>
            </w:pPr>
            <w:r>
              <w:rPr>
                <w:rFonts w:hint="eastAsia" w:ascii="宋体" w:hAnsi="宋体" w:eastAsia="宋体"/>
                <w:sz w:val="32"/>
                <w:szCs w:val="24"/>
              </w:rPr>
              <w:t>17、政府性基金预算支出分类汇总表（按部门预算经济分类）</w:t>
            </w:r>
          </w:p>
        </w:tc>
      </w:tr>
      <w:tr w14:paraId="5F3CD2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2D78C8B1">
            <w:pPr>
              <w:spacing w:beforeLines="0" w:afterLines="0" w:line="375" w:lineRule="exact"/>
              <w:ind w:left="20"/>
              <w:rPr>
                <w:rFonts w:hint="eastAsia" w:ascii="宋体" w:hAnsi="宋体" w:eastAsia="宋体"/>
                <w:sz w:val="32"/>
                <w:szCs w:val="24"/>
              </w:rPr>
            </w:pPr>
            <w:r>
              <w:rPr>
                <w:rFonts w:hint="eastAsia" w:ascii="宋体" w:hAnsi="宋体" w:eastAsia="宋体"/>
                <w:sz w:val="32"/>
                <w:szCs w:val="24"/>
              </w:rPr>
              <w:t>18、国有资本经营预算支出表</w:t>
            </w:r>
          </w:p>
        </w:tc>
      </w:tr>
      <w:tr w14:paraId="490943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2C891533">
            <w:pPr>
              <w:spacing w:beforeLines="0" w:afterLines="0" w:line="375" w:lineRule="exact"/>
              <w:ind w:left="20"/>
              <w:rPr>
                <w:rFonts w:hint="eastAsia" w:ascii="宋体" w:hAnsi="宋体" w:eastAsia="宋体"/>
                <w:sz w:val="32"/>
                <w:szCs w:val="24"/>
              </w:rPr>
            </w:pPr>
            <w:r>
              <w:rPr>
                <w:rFonts w:hint="eastAsia" w:ascii="宋体" w:hAnsi="宋体" w:eastAsia="宋体"/>
                <w:sz w:val="32"/>
                <w:szCs w:val="24"/>
              </w:rPr>
              <w:t>19、财政专户管理资金预算支出表</w:t>
            </w:r>
          </w:p>
        </w:tc>
      </w:tr>
      <w:tr w14:paraId="61B403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0F71412A">
            <w:pPr>
              <w:spacing w:beforeLines="0" w:afterLines="0" w:line="375" w:lineRule="exact"/>
              <w:ind w:left="20"/>
              <w:rPr>
                <w:rFonts w:hint="eastAsia" w:ascii="宋体" w:hAnsi="宋体" w:eastAsia="宋体"/>
                <w:sz w:val="32"/>
                <w:szCs w:val="24"/>
              </w:rPr>
            </w:pPr>
            <w:r>
              <w:rPr>
                <w:rFonts w:hint="eastAsia" w:ascii="宋体" w:hAnsi="宋体" w:eastAsia="宋体"/>
                <w:sz w:val="32"/>
                <w:szCs w:val="24"/>
              </w:rPr>
              <w:t>20、专项资金预算汇总表</w:t>
            </w:r>
          </w:p>
        </w:tc>
      </w:tr>
      <w:tr w14:paraId="5605EC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5AECEFF0">
            <w:pPr>
              <w:spacing w:beforeLines="0" w:afterLines="0" w:line="375" w:lineRule="exact"/>
              <w:ind w:left="20"/>
              <w:rPr>
                <w:rFonts w:hint="eastAsia" w:ascii="宋体" w:hAnsi="宋体" w:eastAsia="宋体"/>
                <w:sz w:val="32"/>
                <w:szCs w:val="24"/>
              </w:rPr>
            </w:pPr>
            <w:r>
              <w:rPr>
                <w:rFonts w:hint="eastAsia" w:ascii="宋体" w:hAnsi="宋体" w:eastAsia="宋体"/>
                <w:sz w:val="32"/>
                <w:szCs w:val="24"/>
              </w:rPr>
              <w:t>21、项目支出绩效目标表</w:t>
            </w:r>
          </w:p>
        </w:tc>
      </w:tr>
      <w:tr w14:paraId="189431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31030A77">
            <w:pPr>
              <w:spacing w:beforeLines="0" w:afterLines="0" w:line="375" w:lineRule="exact"/>
              <w:ind w:left="20"/>
              <w:rPr>
                <w:rFonts w:hint="eastAsia" w:ascii="宋体" w:hAnsi="宋体" w:eastAsia="宋体"/>
                <w:sz w:val="32"/>
                <w:szCs w:val="24"/>
              </w:rPr>
            </w:pPr>
            <w:r>
              <w:rPr>
                <w:rFonts w:hint="eastAsia" w:ascii="宋体" w:hAnsi="宋体" w:eastAsia="宋体"/>
                <w:sz w:val="32"/>
                <w:szCs w:val="24"/>
              </w:rPr>
              <w:t>22、单位整体支出绩效目标表</w:t>
            </w:r>
          </w:p>
        </w:tc>
      </w:tr>
      <w:tr w14:paraId="492F49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513292D8">
            <w:pPr>
              <w:spacing w:beforeLines="0" w:afterLines="0" w:line="375" w:lineRule="exact"/>
              <w:ind w:left="20"/>
              <w:rPr>
                <w:rFonts w:hint="eastAsia" w:ascii="宋体" w:hAnsi="宋体" w:eastAsia="宋体"/>
                <w:sz w:val="32"/>
                <w:szCs w:val="24"/>
              </w:rPr>
            </w:pPr>
            <w:r>
              <w:rPr>
                <w:rFonts w:hint="eastAsia" w:ascii="宋体" w:hAnsi="宋体" w:eastAsia="宋体"/>
                <w:sz w:val="32"/>
                <w:szCs w:val="24"/>
              </w:rPr>
              <w:t>23、一般公共预算基本支出表</w:t>
            </w:r>
          </w:p>
        </w:tc>
      </w:tr>
      <w:tr w14:paraId="02388D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44D26D08">
            <w:pPr>
              <w:spacing w:beforeLines="0" w:afterLines="0" w:line="375" w:lineRule="exact"/>
              <w:ind w:left="20"/>
              <w:rPr>
                <w:rFonts w:hint="eastAsia" w:ascii="宋体" w:hAnsi="宋体" w:eastAsia="宋体"/>
                <w:color w:val="FF0000"/>
                <w:sz w:val="32"/>
                <w:szCs w:val="24"/>
              </w:rPr>
            </w:pPr>
            <w:r>
              <w:rPr>
                <w:rFonts w:hint="eastAsia" w:ascii="宋体" w:hAnsi="宋体" w:eastAsia="宋体"/>
                <w:b/>
                <w:color w:val="FF0000"/>
                <w:sz w:val="32"/>
                <w:szCs w:val="24"/>
              </w:rPr>
              <w:t>注：以上单位预算公开报表中，空表表示本单位无相关收支情况。</w:t>
            </w:r>
          </w:p>
        </w:tc>
      </w:tr>
    </w:tbl>
    <w:p w14:paraId="58D4290C"/>
    <w:sectPr>
      <w:pgSz w:w="18708" w:h="15840"/>
      <w:pgMar w:top="388" w:right="1080" w:bottom="388" w:left="1080" w:header="720" w:footer="720" w:gutter="0"/>
      <w:lnNumType w:countBy="0" w:distance="36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roman"/>
    <w:pitch w:val="default"/>
    <w:sig w:usb0="80000287" w:usb1="280F3C52" w:usb2="00000016" w:usb3="00000000" w:csb0="0004001F" w:csb1="00000000"/>
  </w:font>
  <w:font w:name="Dialog">
    <w:altName w:val="Times New Roman"/>
    <w:panose1 w:val="00000000000000000000"/>
    <w:charset w:val="86"/>
    <w:family w:val="roman"/>
    <w:pitch w:val="default"/>
    <w:sig w:usb0="00000000" w:usb1="00000000" w:usb2="00000000" w:usb3="00000000" w:csb0="00040000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20"/>
  <w:hyphenationZone w:val="360"/>
  <w:drawingGridHorizontalSpacing w:val="120"/>
  <w:drawingGridVerticalSpacing w:val="120"/>
  <w:displayHorizontalDrawingGridEvery w:val="3"/>
  <w:displayVerticalDrawingGridEvery w:val="3"/>
  <w:doNotUseMarginsForDrawingGridOrigin w:val="1"/>
  <w:drawingGridHorizontalOrigin w:val="1701"/>
  <w:drawingGridVerticalOrigin w:val="1984"/>
  <w:doNotShadeFormData w:val="1"/>
  <w:characterSpacingControl w:val="compressPunctuation"/>
  <w:doNotValidateAgainstSchema/>
  <w:doNotDemarcateInvalidXml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6D5A10E6"/>
    <w:rsid w:val="7E6C1F5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iPriority="99" w:semiHidden="0" w:name="Normal"/>
    <w:lsdException w:uiPriority="99" w:semiHidden="0" w:name="heading 1"/>
    <w:lsdException w:qFormat="1" w:uiPriority="99" w:semiHidden="0" w:name="heading 2"/>
    <w:lsdException w:qFormat="1" w:uiPriority="99" w:semiHidden="0" w:name="heading 3"/>
    <w:lsdException w:uiPriority="99" w:name="heading 4"/>
    <w:lsdException w:uiPriority="99" w:name="heading 5"/>
    <w:lsdException w:uiPriority="99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99" w:name="toc 1"/>
    <w:lsdException w:uiPriority="99" w:name="toc 2"/>
    <w:lsdException w:uiPriority="99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uiPriority="99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iPriority="99" w:name="Title"/>
    <w:lsdException w:uiPriority="99" w:name="Closing"/>
    <w:lsdException w:uiPriority="99" w:name="Signature"/>
    <w:lsdException w:qFormat="1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iPriority="99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uiPriority="99" w:name="Strong"/>
    <w:lsdException w:uiPriority="99" w:name="Emphasis"/>
    <w:lsdException w:uiPriority="99" w:name="Document Map"/>
    <w:lsdException w:uiPriority="99" w:name="Plain Text"/>
    <w:lsdException w:uiPriority="99" w:name="E-mail Signature"/>
    <w:lsdException w:qFormat="1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nhideWhenUsed/>
    <w:uiPriority w:val="99"/>
    <w:pPr>
      <w:widowControl w:val="0"/>
      <w:autoSpaceDE w:val="0"/>
      <w:autoSpaceDN w:val="0"/>
      <w:adjustRightInd w:val="0"/>
      <w:spacing w:beforeLines="0" w:afterLines="0"/>
    </w:pPr>
    <w:rPr>
      <w:rFonts w:hint="default" w:ascii="Arial" w:hAnsi="Arial" w:eastAsia="宋体" w:cs="Times New Roman"/>
      <w:color w:val="000000"/>
      <w:sz w:val="24"/>
      <w:szCs w:val="24"/>
    </w:rPr>
  </w:style>
  <w:style w:type="paragraph" w:styleId="2">
    <w:name w:val="heading 1"/>
    <w:unhideWhenUsed/>
    <w:uiPriority w:val="99"/>
    <w:pPr>
      <w:widowControl w:val="0"/>
      <w:autoSpaceDE w:val="0"/>
      <w:autoSpaceDN w:val="0"/>
      <w:adjustRightInd w:val="0"/>
      <w:spacing w:beforeLines="0" w:afterLines="0"/>
    </w:pPr>
    <w:rPr>
      <w:rFonts w:hint="default" w:ascii="Arial" w:hAnsi="Arial" w:eastAsia="宋体" w:cs="Times New Roman"/>
      <w:b/>
      <w:color w:val="000000"/>
      <w:sz w:val="32"/>
      <w:szCs w:val="24"/>
    </w:rPr>
  </w:style>
  <w:style w:type="paragraph" w:styleId="3">
    <w:name w:val="heading 2"/>
    <w:unhideWhenUsed/>
    <w:qFormat/>
    <w:uiPriority w:val="99"/>
    <w:pPr>
      <w:widowControl w:val="0"/>
      <w:autoSpaceDE w:val="0"/>
      <w:autoSpaceDN w:val="0"/>
      <w:adjustRightInd w:val="0"/>
      <w:spacing w:beforeLines="0" w:afterLines="0"/>
    </w:pPr>
    <w:rPr>
      <w:rFonts w:hint="default" w:ascii="Arial" w:hAnsi="Arial" w:eastAsia="宋体" w:cs="Times New Roman"/>
      <w:b/>
      <w:i/>
      <w:color w:val="000000"/>
      <w:sz w:val="28"/>
      <w:szCs w:val="24"/>
    </w:rPr>
  </w:style>
  <w:style w:type="paragraph" w:styleId="4">
    <w:name w:val="heading 3"/>
    <w:unhideWhenUsed/>
    <w:qFormat/>
    <w:uiPriority w:val="99"/>
    <w:pPr>
      <w:widowControl w:val="0"/>
      <w:autoSpaceDE w:val="0"/>
      <w:autoSpaceDN w:val="0"/>
      <w:adjustRightInd w:val="0"/>
      <w:spacing w:beforeLines="0" w:afterLines="0"/>
    </w:pPr>
    <w:rPr>
      <w:rFonts w:hint="default" w:ascii="Arial" w:hAnsi="Arial" w:eastAsia="宋体" w:cs="Times New Roman"/>
      <w:b/>
      <w:color w:val="000000"/>
      <w:sz w:val="26"/>
      <w:szCs w:val="24"/>
    </w:rPr>
  </w:style>
  <w:style w:type="character" w:default="1" w:styleId="7">
    <w:name w:val="Default Paragraph Font"/>
    <w:semiHidden/>
    <w:unhideWhenUsed/>
    <w:qFormat/>
    <w:uiPriority w:val="99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(Web)"/>
    <w:basedOn w:val="1"/>
    <w:unhideWhenUsed/>
    <w:qFormat/>
    <w:uiPriority w:val="0"/>
    <w:pPr>
      <w:spacing w:before="100" w:beforeLines="0" w:beforeAutospacing="1" w:after="100" w:afterLines="0" w:afterAutospacing="1"/>
    </w:pPr>
    <w:rPr>
      <w:rFonts w:hint="default"/>
      <w:sz w:val="24"/>
      <w:szCs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5</Pages>
  <Words>3185</Words>
  <Characters>3515</Characters>
  <TotalTime>0</TotalTime>
  <ScaleCrop>false</ScaleCrop>
  <LinksUpToDate>false</LinksUpToDate>
  <CharactersWithSpaces>3604</CharactersWithSpaces>
  <Application>WPS Office_12.1.0.18912_F1E327BC-269C-435d-A152-05C5408002CA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2026-04-13T07:52:00Z</dcterms:created>
  <dc:creator>Administrator</dc:creator>
  <cp:lastModifiedBy>黄煜珊</cp:lastModifiedBy>
  <dcterms:modified xsi:type="dcterms:W3CDTF">2026-04-14T07:58:35Z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31555DB050B642D5B2DCD2EFF9D75608</vt:lpwstr>
  </property>
</Properties>
</file>